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7DE059BD">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1F3D19C7" w:rsidR="00F445B1" w:rsidRPr="00F95BC9" w:rsidRDefault="1982FE34" w:rsidP="7DE059BD">
            <w:pPr>
              <w:spacing w:line="259" w:lineRule="auto"/>
            </w:pPr>
            <w:r w:rsidRPr="7DE059BD">
              <w:rPr>
                <w:rStyle w:val="Firstpagetablebold"/>
              </w:rPr>
              <w:t>Housing and Homelessness Panel</w:t>
            </w:r>
          </w:p>
        </w:tc>
      </w:tr>
      <w:tr w:rsidR="00CE544A" w:rsidRPr="00975B07" w14:paraId="705FA4FB" w14:textId="77777777" w:rsidTr="7DE059BD">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192F02B3" w:rsidR="00F445B1" w:rsidRPr="009E30E2" w:rsidRDefault="46F943B6" w:rsidP="7DE059BD">
            <w:pPr>
              <w:rPr>
                <w:rFonts w:eastAsia="Arial" w:cs="Arial"/>
              </w:rPr>
            </w:pPr>
            <w:r w:rsidRPr="7DE059BD">
              <w:rPr>
                <w:rFonts w:eastAsia="Arial" w:cs="Arial"/>
                <w:color w:val="000000" w:themeColor="text1"/>
              </w:rPr>
              <w:t>6 March 2025</w:t>
            </w:r>
          </w:p>
        </w:tc>
      </w:tr>
      <w:tr w:rsidR="00CE544A" w:rsidRPr="00975B07" w14:paraId="7AED9E48" w14:textId="77777777" w:rsidTr="7DE059BD">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1180ACBE" w:rsidR="00F445B1" w:rsidRPr="009E30E2" w:rsidRDefault="05FFCC5E" w:rsidP="7DE059BD">
            <w:pPr>
              <w:spacing w:line="259" w:lineRule="auto"/>
            </w:pPr>
            <w:r w:rsidRPr="7DE059BD">
              <w:rPr>
                <w:rStyle w:val="Firstpagetablebold"/>
                <w:rFonts w:cs="Arial"/>
                <w:b w:val="0"/>
                <w:color w:val="auto"/>
              </w:rPr>
              <w:t>Director of Housing</w:t>
            </w:r>
          </w:p>
        </w:tc>
      </w:tr>
      <w:tr w:rsidR="00CE544A" w:rsidRPr="00975B07" w14:paraId="312CDF01" w14:textId="77777777" w:rsidTr="7DE059BD">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38B2BB27" w:rsidR="00F445B1" w:rsidRPr="009E30E2" w:rsidRDefault="7BB41E96" w:rsidP="7DE059BD">
            <w:pPr>
              <w:spacing w:line="259" w:lineRule="auto"/>
              <w:rPr>
                <w:rStyle w:val="Firstpagetablebold"/>
                <w:rFonts w:cs="Arial"/>
                <w:b w:val="0"/>
                <w:color w:val="auto"/>
              </w:rPr>
            </w:pPr>
            <w:r w:rsidRPr="7DE059BD">
              <w:rPr>
                <w:rStyle w:val="Firstpagetablebold"/>
                <w:rFonts w:cs="Arial"/>
                <w:b w:val="0"/>
                <w:color w:val="auto"/>
              </w:rPr>
              <w:t>Update on Temporary Accommodation and Homelessness Pressure</w:t>
            </w:r>
            <w:r w:rsidR="17564E5F" w:rsidRPr="7DE059BD">
              <w:rPr>
                <w:rStyle w:val="Firstpagetablebold"/>
                <w:rFonts w:cs="Arial"/>
                <w:b w:val="0"/>
                <w:color w:val="auto"/>
              </w:rPr>
              <w:t>s</w:t>
            </w:r>
            <w:r w:rsidRPr="7DE059BD">
              <w:rPr>
                <w:rStyle w:val="Firstpagetablebold"/>
                <w:rFonts w:cs="Arial"/>
                <w:b w:val="0"/>
                <w:color w:val="auto"/>
              </w:rPr>
              <w:t xml:space="preserve"> (</w:t>
            </w:r>
            <w:r w:rsidR="220C1408" w:rsidRPr="7DE059BD">
              <w:rPr>
                <w:rStyle w:val="Firstpagetablebold"/>
                <w:rFonts w:cs="Arial"/>
                <w:b w:val="0"/>
                <w:color w:val="auto"/>
              </w:rPr>
              <w:t xml:space="preserve">April </w:t>
            </w:r>
            <w:r w:rsidRPr="7DE059BD">
              <w:rPr>
                <w:rStyle w:val="Firstpagetablebold"/>
                <w:rFonts w:cs="Arial"/>
                <w:b w:val="0"/>
                <w:color w:val="auto"/>
              </w:rPr>
              <w:t>to December 2024)</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7DE059BD">
        <w:tc>
          <w:tcPr>
            <w:tcW w:w="8845" w:type="dxa"/>
            <w:gridSpan w:val="2"/>
            <w:tcBorders>
              <w:bottom w:val="single" w:sz="8" w:space="0" w:color="000000" w:themeColor="text1"/>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7DE059BD">
        <w:tc>
          <w:tcPr>
            <w:tcW w:w="2438" w:type="dxa"/>
            <w:tcBorders>
              <w:top w:val="single" w:sz="8" w:space="0" w:color="000000" w:themeColor="text1"/>
              <w:left w:val="single" w:sz="8" w:space="0" w:color="000000" w:themeColor="text1"/>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themeColor="text1"/>
              <w:left w:val="nil"/>
              <w:bottom w:val="nil"/>
              <w:right w:val="single" w:sz="8" w:space="0" w:color="000000" w:themeColor="text1"/>
            </w:tcBorders>
            <w:hideMark/>
          </w:tcPr>
          <w:p w14:paraId="419B6548" w14:textId="2CE82F1E" w:rsidR="00D5547E" w:rsidRPr="009E30E2" w:rsidRDefault="2C25BAC9" w:rsidP="7DE059BD">
            <w:pPr>
              <w:spacing w:line="259" w:lineRule="auto"/>
            </w:pPr>
            <w:r w:rsidRPr="7DE059BD">
              <w:rPr>
                <w:color w:val="auto"/>
              </w:rPr>
              <w:t>N/A</w:t>
            </w:r>
          </w:p>
        </w:tc>
      </w:tr>
      <w:tr w:rsidR="00025250" w14:paraId="43BD728D" w14:textId="77777777" w:rsidTr="7DE059BD">
        <w:tc>
          <w:tcPr>
            <w:tcW w:w="2438" w:type="dxa"/>
            <w:tcBorders>
              <w:top w:val="nil"/>
              <w:left w:val="single" w:sz="8" w:space="0" w:color="000000" w:themeColor="text1"/>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hemeColor="text1"/>
            </w:tcBorders>
            <w:hideMark/>
          </w:tcPr>
          <w:p w14:paraId="1B0C58F5" w14:textId="67BD5142" w:rsidR="00025250" w:rsidRPr="009E30E2" w:rsidRDefault="47D86170" w:rsidP="7DE059BD">
            <w:pPr>
              <w:rPr>
                <w:color w:val="auto"/>
              </w:rPr>
            </w:pPr>
            <w:r w:rsidRPr="7DE059BD">
              <w:rPr>
                <w:rFonts w:cs="Arial"/>
                <w:color w:val="auto"/>
              </w:rPr>
              <w:t>No</w:t>
            </w:r>
            <w:r w:rsidR="134DEDB1" w:rsidRPr="7DE059BD">
              <w:rPr>
                <w:rFonts w:cs="Arial"/>
                <w:color w:val="auto"/>
              </w:rPr>
              <w:t xml:space="preserve"> </w:t>
            </w:r>
          </w:p>
        </w:tc>
      </w:tr>
      <w:tr w:rsidR="00025250" w14:paraId="10A3E36F" w14:textId="77777777" w:rsidTr="7DE059BD">
        <w:tc>
          <w:tcPr>
            <w:tcW w:w="2438" w:type="dxa"/>
            <w:tcBorders>
              <w:top w:val="nil"/>
              <w:left w:val="single" w:sz="8" w:space="0" w:color="000000" w:themeColor="text1"/>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hemeColor="text1"/>
            </w:tcBorders>
            <w:hideMark/>
          </w:tcPr>
          <w:p w14:paraId="1E006809" w14:textId="447FC0EF" w:rsidR="00025250" w:rsidRPr="009E30E2" w:rsidRDefault="200EE6D1" w:rsidP="7DE059BD">
            <w:pPr>
              <w:rPr>
                <w:rFonts w:eastAsia="Arial" w:cs="Arial"/>
                <w:lang w:val="en-US"/>
              </w:rPr>
            </w:pPr>
            <w:r w:rsidRPr="7DE059BD">
              <w:rPr>
                <w:rFonts w:eastAsia="Arial" w:cs="Arial"/>
                <w:color w:val="000000" w:themeColor="text1"/>
                <w:lang w:val="en-US"/>
              </w:rPr>
              <w:t>Councillor Linda Smith, Cabinet Member for Housing and Communities</w:t>
            </w:r>
          </w:p>
        </w:tc>
      </w:tr>
      <w:tr w:rsidR="00025250" w14:paraId="7B700325" w14:textId="77777777" w:rsidTr="7DE059BD">
        <w:tc>
          <w:tcPr>
            <w:tcW w:w="2438" w:type="dxa"/>
            <w:tcBorders>
              <w:top w:val="nil"/>
              <w:left w:val="single" w:sz="8" w:space="0" w:color="000000" w:themeColor="text1"/>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hemeColor="text1"/>
            </w:tcBorders>
          </w:tcPr>
          <w:p w14:paraId="3DF1AC69" w14:textId="1E6DCAF6" w:rsidR="00025250" w:rsidRPr="009E30E2" w:rsidRDefault="511B3F3B" w:rsidP="7DE059BD">
            <w:pPr>
              <w:rPr>
                <w:rFonts w:eastAsia="Arial" w:cs="Arial"/>
                <w:color w:val="auto"/>
              </w:rPr>
            </w:pPr>
            <w:r w:rsidRPr="7DE059BD">
              <w:rPr>
                <w:rFonts w:eastAsia="Arial" w:cs="Arial"/>
                <w:color w:val="000000" w:themeColor="text1"/>
              </w:rPr>
              <w:t>Good, affordable homes</w:t>
            </w:r>
            <w:r w:rsidR="134DEDB1" w:rsidRPr="7DE059BD">
              <w:rPr>
                <w:rFonts w:eastAsia="Arial" w:cs="Arial"/>
                <w:color w:val="auto"/>
              </w:rPr>
              <w:t>.</w:t>
            </w:r>
          </w:p>
        </w:tc>
      </w:tr>
      <w:tr w:rsidR="00025250" w14:paraId="63186D5F" w14:textId="77777777" w:rsidTr="7DE059BD">
        <w:tc>
          <w:tcPr>
            <w:tcW w:w="2438" w:type="dxa"/>
            <w:tcBorders>
              <w:top w:val="nil"/>
              <w:left w:val="single" w:sz="8" w:space="0" w:color="000000" w:themeColor="text1"/>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hemeColor="text1"/>
            </w:tcBorders>
            <w:hideMark/>
          </w:tcPr>
          <w:p w14:paraId="0AA7D163" w14:textId="3B1C410D" w:rsidR="00025250" w:rsidRPr="009E30E2" w:rsidRDefault="251517DD" w:rsidP="7DE059BD">
            <w:pPr>
              <w:rPr>
                <w:rFonts w:eastAsia="Arial" w:cs="Arial"/>
                <w:lang w:val="en-US"/>
              </w:rPr>
            </w:pPr>
            <w:r w:rsidRPr="7DE059BD">
              <w:rPr>
                <w:rFonts w:eastAsia="Arial" w:cs="Arial"/>
                <w:color w:val="000000" w:themeColor="text1"/>
                <w:lang w:val="en-US"/>
              </w:rPr>
              <w:t>Housing, Homelessness and Rough Sleeping Strategy</w:t>
            </w:r>
          </w:p>
        </w:tc>
      </w:tr>
    </w:tbl>
    <w:p w14:paraId="3B28CE5F" w14:textId="77777777" w:rsidR="00CE544A" w:rsidRDefault="00CE544A"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426"/>
        <w:gridCol w:w="8419"/>
      </w:tblGrid>
      <w:tr w:rsidR="00025250" w:rsidRPr="00975B07" w14:paraId="75BF65A5" w14:textId="77777777" w:rsidTr="7DE059BD">
        <w:trPr>
          <w:trHeight w:val="413"/>
        </w:trPr>
        <w:tc>
          <w:tcPr>
            <w:tcW w:w="8845" w:type="dxa"/>
            <w:gridSpan w:val="2"/>
            <w:tcBorders>
              <w:bottom w:val="single" w:sz="8" w:space="0" w:color="000000" w:themeColor="text1"/>
            </w:tcBorders>
          </w:tcPr>
          <w:p w14:paraId="18FB24CC" w14:textId="45DCFA1D" w:rsidR="00025250" w:rsidRPr="00975B07" w:rsidRDefault="134DEDB1" w:rsidP="00FD0B08">
            <w:r w:rsidRPr="7DE059BD">
              <w:rPr>
                <w:rStyle w:val="Firstpagetablebold"/>
              </w:rPr>
              <w:t>Recommendation(s):</w:t>
            </w:r>
            <w:r w:rsidR="5C2E811E" w:rsidRPr="7DE059BD">
              <w:rPr>
                <w:rStyle w:val="Firstpagetablebold"/>
              </w:rPr>
              <w:t xml:space="preserve"> </w:t>
            </w:r>
            <w:r w:rsidRPr="7DE059BD">
              <w:rPr>
                <w:rStyle w:val="Firstpagetablebold"/>
                <w:b w:val="0"/>
              </w:rPr>
              <w:t xml:space="preserve">That </w:t>
            </w:r>
            <w:r w:rsidR="56853F4A" w:rsidRPr="7DE059BD">
              <w:rPr>
                <w:rStyle w:val="Firstpagetablebold"/>
                <w:b w:val="0"/>
              </w:rPr>
              <w:t xml:space="preserve">Panel </w:t>
            </w:r>
            <w:r w:rsidRPr="7DE059BD">
              <w:rPr>
                <w:rStyle w:val="Firstpagetablebold"/>
                <w:b w:val="0"/>
              </w:rPr>
              <w:t>resolves to:</w:t>
            </w:r>
          </w:p>
        </w:tc>
      </w:tr>
      <w:tr w:rsidR="00025250" w:rsidRPr="00975B07" w14:paraId="128A7C0D" w14:textId="77777777" w:rsidTr="7DE059BD">
        <w:trPr>
          <w:trHeight w:val="283"/>
        </w:trPr>
        <w:tc>
          <w:tcPr>
            <w:tcW w:w="426" w:type="dxa"/>
            <w:tcBorders>
              <w:top w:val="single" w:sz="8" w:space="0" w:color="000000" w:themeColor="text1"/>
              <w:left w:val="single" w:sz="8" w:space="0" w:color="000000" w:themeColor="text1"/>
              <w:bottom w:val="single" w:sz="12" w:space="0" w:color="000000" w:themeColor="text1"/>
              <w:right w:val="nil"/>
            </w:tcBorders>
          </w:tcPr>
          <w:p w14:paraId="4AAB6C58" w14:textId="77777777" w:rsidR="00025250" w:rsidRPr="00975B07" w:rsidRDefault="00025250" w:rsidP="00FD0B08">
            <w:r w:rsidRPr="00975B07">
              <w:t>1.</w:t>
            </w:r>
          </w:p>
        </w:tc>
        <w:tc>
          <w:tcPr>
            <w:tcW w:w="8419" w:type="dxa"/>
            <w:tcBorders>
              <w:top w:val="single" w:sz="8" w:space="0" w:color="000000" w:themeColor="text1"/>
              <w:left w:val="nil"/>
              <w:bottom w:val="single" w:sz="12" w:space="0" w:color="000000" w:themeColor="text1"/>
              <w:right w:val="single" w:sz="8" w:space="0" w:color="000000" w:themeColor="text1"/>
            </w:tcBorders>
            <w:shd w:val="clear" w:color="auto" w:fill="auto"/>
          </w:tcPr>
          <w:p w14:paraId="2D683A1F" w14:textId="0D394338" w:rsidR="00025250" w:rsidRPr="001356F1" w:rsidRDefault="1F6D3B3D" w:rsidP="7DE059BD">
            <w:pPr>
              <w:rPr>
                <w:rFonts w:eastAsia="Arial" w:cs="Arial"/>
              </w:rPr>
            </w:pPr>
            <w:r w:rsidRPr="7DE059BD">
              <w:rPr>
                <w:rFonts w:eastAsia="Arial" w:cs="Arial"/>
                <w:color w:val="000000" w:themeColor="text1"/>
                <w:lang w:val="en-US"/>
              </w:rPr>
              <w:t>For Housing and Homelessness Panel to note the report</w:t>
            </w:r>
            <w:r w:rsidR="134DEDB1" w:rsidRPr="7DE059BD">
              <w:rPr>
                <w:rFonts w:eastAsia="Arial" w:cs="Arial"/>
              </w:rPr>
              <w:t xml:space="preserve"> </w:t>
            </w:r>
          </w:p>
        </w:tc>
      </w:tr>
    </w:tbl>
    <w:p w14:paraId="1C3EE284" w14:textId="1C8A8AD5" w:rsidR="00E206D6" w:rsidRPr="001356F1" w:rsidRDefault="00E206D6" w:rsidP="7DE059BD"/>
    <w:p w14:paraId="3384B174"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7DE059BD">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04987E45" w14:textId="77777777" w:rsidR="00E87F7A" w:rsidRPr="001356F1" w:rsidRDefault="00E87F7A" w:rsidP="00A46E98">
            <w:pPr>
              <w:rPr>
                <w:b/>
              </w:rPr>
            </w:pPr>
            <w:r w:rsidRPr="001356F1">
              <w:rPr>
                <w:b/>
              </w:rPr>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6930C959" w14:textId="7C2B28E2" w:rsidR="00E87F7A" w:rsidRPr="001356F1" w:rsidRDefault="34CB7535" w:rsidP="7DE059BD">
            <w:pPr>
              <w:spacing w:line="259" w:lineRule="auto"/>
            </w:pPr>
            <w:r>
              <w:t>Richard Wood</w:t>
            </w:r>
          </w:p>
        </w:tc>
      </w:tr>
      <w:tr w:rsidR="00DF093E" w:rsidRPr="001356F1" w14:paraId="07A5B9C2" w14:textId="77777777" w:rsidTr="7DE059BD">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3100D2DA" w14:textId="23903636" w:rsidR="00E87F7A" w:rsidRPr="001356F1" w:rsidRDefault="53E57CD2" w:rsidP="7DE059BD">
            <w:pPr>
              <w:spacing w:line="259" w:lineRule="auto"/>
            </w:pPr>
            <w:r>
              <w:t>Housing Strategy and Needs Manager</w:t>
            </w:r>
          </w:p>
        </w:tc>
      </w:tr>
      <w:tr w:rsidR="00DF093E" w:rsidRPr="001356F1" w14:paraId="6DEB5543" w14:textId="77777777" w:rsidTr="7DE059BD">
        <w:trPr>
          <w:cantSplit/>
          <w:trHeight w:val="396"/>
        </w:trPr>
        <w:tc>
          <w:tcPr>
            <w:tcW w:w="3969" w:type="dxa"/>
            <w:tcBorders>
              <w:top w:val="nil"/>
              <w:left w:val="single" w:sz="8" w:space="0" w:color="000000" w:themeColor="text1"/>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hemeColor="text1"/>
            </w:tcBorders>
            <w:shd w:val="clear" w:color="auto" w:fill="auto"/>
          </w:tcPr>
          <w:p w14:paraId="0F7746FF" w14:textId="1342A2A7" w:rsidR="00E87F7A" w:rsidRPr="001356F1" w:rsidRDefault="0B9FB13A" w:rsidP="7DE059BD">
            <w:pPr>
              <w:spacing w:line="259" w:lineRule="auto"/>
            </w:pPr>
            <w:r>
              <w:t>Housing Services</w:t>
            </w:r>
          </w:p>
        </w:tc>
      </w:tr>
      <w:tr w:rsidR="00DF093E" w:rsidRPr="001356F1" w14:paraId="572FB489" w14:textId="77777777" w:rsidTr="7DE059BD">
        <w:trPr>
          <w:cantSplit/>
          <w:trHeight w:val="396"/>
        </w:trPr>
        <w:tc>
          <w:tcPr>
            <w:tcW w:w="3969" w:type="dxa"/>
            <w:tcBorders>
              <w:top w:val="nil"/>
              <w:left w:val="single" w:sz="8" w:space="0" w:color="000000" w:themeColor="text1"/>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hemeColor="text1"/>
            </w:tcBorders>
            <w:shd w:val="clear" w:color="auto" w:fill="auto"/>
          </w:tcPr>
          <w:p w14:paraId="53D96CCC" w14:textId="38B1B681" w:rsidR="00E87F7A" w:rsidRPr="001356F1" w:rsidRDefault="0331C096" w:rsidP="00A46E98">
            <w:r w:rsidRPr="7DE059BD">
              <w:t xml:space="preserve">01865 </w:t>
            </w:r>
            <w:r w:rsidR="35F46AA2" w:rsidRPr="7DE059BD">
              <w:t>252002</w:t>
            </w:r>
            <w:r w:rsidRPr="7DE059BD">
              <w:t xml:space="preserve"> </w:t>
            </w:r>
          </w:p>
        </w:tc>
      </w:tr>
      <w:tr w:rsidR="005570B5" w:rsidRPr="001356F1" w14:paraId="40AEFD69" w14:textId="77777777" w:rsidTr="7DE059BD">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64C04F4C" w14:textId="3E82A2BA" w:rsidR="00E87F7A" w:rsidRPr="001356F1" w:rsidRDefault="68F38FEE" w:rsidP="7DE059BD">
            <w:pPr>
              <w:spacing w:line="259" w:lineRule="auto"/>
            </w:pPr>
            <w:r w:rsidRPr="7DE059BD">
              <w:rPr>
                <w:rStyle w:val="Hyperlink"/>
                <w:color w:val="000000" w:themeColor="text1"/>
              </w:rPr>
              <w:t>rwood@oxford.gov.uk</w:t>
            </w:r>
          </w:p>
        </w:tc>
      </w:tr>
    </w:tbl>
    <w:p w14:paraId="1FE671BD" w14:textId="7B08FE9F" w:rsidR="004456DD" w:rsidRPr="009E51FC" w:rsidRDefault="004456DD" w:rsidP="7DE059BD"/>
    <w:p w14:paraId="03C7ECE1" w14:textId="2F64BA8F" w:rsidR="7DE059BD" w:rsidRDefault="7DE059BD" w:rsidP="7DE059BD"/>
    <w:p w14:paraId="0F1D0C41" w14:textId="513BD2FC" w:rsidR="7DE059BD" w:rsidRDefault="7DE059BD" w:rsidP="7DE059BD"/>
    <w:p w14:paraId="392DC8A4" w14:textId="675C6811" w:rsidR="7DE059BD" w:rsidRDefault="7DE059BD" w:rsidP="7DE059BD"/>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1830"/>
        <w:gridCol w:w="975"/>
        <w:gridCol w:w="1230"/>
        <w:gridCol w:w="5010"/>
        <w:gridCol w:w="802"/>
      </w:tblGrid>
      <w:tr w:rsidR="7DE059BD" w14:paraId="71B09A1A" w14:textId="77777777" w:rsidTr="7DE059BD">
        <w:trPr>
          <w:trHeight w:val="300"/>
        </w:trPr>
        <w:tc>
          <w:tcPr>
            <w:tcW w:w="9847" w:type="dxa"/>
            <w:gridSpan w:val="5"/>
            <w:shd w:val="clear" w:color="auto" w:fill="A5C9EB"/>
            <w:tcMar>
              <w:left w:w="105" w:type="dxa"/>
              <w:right w:w="105" w:type="dxa"/>
            </w:tcMar>
          </w:tcPr>
          <w:p w14:paraId="343EA672" w14:textId="06AA5BB9" w:rsidR="7DE059BD" w:rsidRDefault="7DE059BD" w:rsidP="7DE059BD">
            <w:pPr>
              <w:spacing w:line="279" w:lineRule="auto"/>
              <w:rPr>
                <w:rFonts w:ascii="Aptos" w:eastAsia="Aptos" w:hAnsi="Aptos" w:cs="Aptos"/>
                <w:color w:val="000000" w:themeColor="text1"/>
                <w:sz w:val="22"/>
                <w:szCs w:val="22"/>
              </w:rPr>
            </w:pPr>
            <w:r w:rsidRPr="7DE059BD">
              <w:rPr>
                <w:rFonts w:ascii="Aptos" w:eastAsia="Aptos" w:hAnsi="Aptos" w:cs="Aptos"/>
                <w:b/>
                <w:bCs/>
                <w:color w:val="000000" w:themeColor="text1"/>
                <w:sz w:val="22"/>
                <w:szCs w:val="22"/>
                <w:lang w:val="en-US"/>
              </w:rPr>
              <w:t>Key Temporary Accommodation (TA) Demand Indicators</w:t>
            </w:r>
          </w:p>
          <w:p w14:paraId="12F2093A" w14:textId="27DBD1B0" w:rsidR="7DE059BD" w:rsidRDefault="7DE059BD" w:rsidP="7DE059BD">
            <w:pPr>
              <w:rPr>
                <w:rFonts w:ascii="Aptos" w:eastAsia="Aptos" w:hAnsi="Aptos" w:cs="Aptos"/>
                <w:color w:val="000000" w:themeColor="text1"/>
                <w:sz w:val="22"/>
                <w:szCs w:val="22"/>
              </w:rPr>
            </w:pPr>
          </w:p>
        </w:tc>
      </w:tr>
      <w:tr w:rsidR="7DE059BD" w14:paraId="01C28E05" w14:textId="77777777" w:rsidTr="7DE059BD">
        <w:trPr>
          <w:trHeight w:val="300"/>
        </w:trPr>
        <w:tc>
          <w:tcPr>
            <w:tcW w:w="1830" w:type="dxa"/>
            <w:shd w:val="clear" w:color="auto" w:fill="A5C9EB"/>
            <w:tcMar>
              <w:left w:w="105" w:type="dxa"/>
              <w:right w:w="105" w:type="dxa"/>
            </w:tcMar>
          </w:tcPr>
          <w:p w14:paraId="661150A4" w14:textId="75F56D15"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lastRenderedPageBreak/>
              <w:t xml:space="preserve"> Description </w:t>
            </w:r>
          </w:p>
        </w:tc>
        <w:tc>
          <w:tcPr>
            <w:tcW w:w="975" w:type="dxa"/>
            <w:shd w:val="clear" w:color="auto" w:fill="A5C9EB"/>
            <w:tcMar>
              <w:left w:w="105" w:type="dxa"/>
              <w:right w:w="105" w:type="dxa"/>
            </w:tcMar>
          </w:tcPr>
          <w:p w14:paraId="52A1E269" w14:textId="73F6F9FF" w:rsidR="7DE059BD" w:rsidRDefault="7DE059BD"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Result at EOY 23/24 (March)</w:t>
            </w:r>
          </w:p>
        </w:tc>
        <w:tc>
          <w:tcPr>
            <w:tcW w:w="1230" w:type="dxa"/>
            <w:shd w:val="clear" w:color="auto" w:fill="A5C9EB"/>
            <w:tcMar>
              <w:left w:w="105" w:type="dxa"/>
              <w:right w:w="105" w:type="dxa"/>
            </w:tcMar>
          </w:tcPr>
          <w:p w14:paraId="74BF4812" w14:textId="546AAFB2" w:rsidR="7DE059BD" w:rsidRDefault="7DE059BD"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Result December 2024 </w:t>
            </w:r>
          </w:p>
        </w:tc>
        <w:tc>
          <w:tcPr>
            <w:tcW w:w="5010" w:type="dxa"/>
            <w:shd w:val="clear" w:color="auto" w:fill="A5C9EB"/>
            <w:tcMar>
              <w:left w:w="105" w:type="dxa"/>
              <w:right w:w="105" w:type="dxa"/>
            </w:tcMar>
          </w:tcPr>
          <w:p w14:paraId="38911384" w14:textId="25F2DAEF"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Comments </w:t>
            </w:r>
          </w:p>
        </w:tc>
        <w:tc>
          <w:tcPr>
            <w:tcW w:w="802" w:type="dxa"/>
            <w:shd w:val="clear" w:color="auto" w:fill="A5C9EB"/>
            <w:tcMar>
              <w:left w:w="105" w:type="dxa"/>
              <w:right w:w="105" w:type="dxa"/>
            </w:tcMar>
          </w:tcPr>
          <w:p w14:paraId="47B056D7" w14:textId="53A3054D"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RAG rating </w:t>
            </w:r>
          </w:p>
        </w:tc>
      </w:tr>
      <w:tr w:rsidR="7DE059BD" w14:paraId="6F24193E" w14:textId="77777777" w:rsidTr="7DE059BD">
        <w:trPr>
          <w:trHeight w:val="300"/>
        </w:trPr>
        <w:tc>
          <w:tcPr>
            <w:tcW w:w="1830" w:type="dxa"/>
            <w:tcMar>
              <w:left w:w="105" w:type="dxa"/>
              <w:right w:w="105" w:type="dxa"/>
            </w:tcMar>
          </w:tcPr>
          <w:p w14:paraId="5DCBA455" w14:textId="5C1BD084" w:rsidR="480D5985" w:rsidRDefault="480D5985"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1.1 </w:t>
            </w:r>
            <w:r w:rsidR="7DE059BD" w:rsidRPr="7DE059BD">
              <w:rPr>
                <w:rFonts w:ascii="Aptos" w:eastAsia="Aptos" w:hAnsi="Aptos" w:cs="Aptos"/>
                <w:color w:val="000000" w:themeColor="text1"/>
                <w:sz w:val="22"/>
                <w:szCs w:val="22"/>
                <w:lang w:val="en-US"/>
              </w:rPr>
              <w:t>Number of households in temporary accommodation (all types)</w:t>
            </w:r>
          </w:p>
        </w:tc>
        <w:tc>
          <w:tcPr>
            <w:tcW w:w="975" w:type="dxa"/>
            <w:tcMar>
              <w:left w:w="105" w:type="dxa"/>
              <w:right w:w="105" w:type="dxa"/>
            </w:tcMar>
          </w:tcPr>
          <w:p w14:paraId="3B28E52F" w14:textId="776A5D00"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246</w:t>
            </w:r>
          </w:p>
          <w:p w14:paraId="094D0D96" w14:textId="0FDCE8BE" w:rsidR="7DE059BD" w:rsidRDefault="7DE059BD" w:rsidP="7DE059BD">
            <w:pPr>
              <w:rPr>
                <w:rFonts w:ascii="Aptos" w:eastAsia="Aptos" w:hAnsi="Aptos" w:cs="Aptos"/>
                <w:color w:val="000000" w:themeColor="text1"/>
                <w:sz w:val="22"/>
                <w:szCs w:val="22"/>
              </w:rPr>
            </w:pPr>
          </w:p>
        </w:tc>
        <w:tc>
          <w:tcPr>
            <w:tcW w:w="1230" w:type="dxa"/>
            <w:tcMar>
              <w:left w:w="105" w:type="dxa"/>
              <w:right w:w="105" w:type="dxa"/>
            </w:tcMar>
          </w:tcPr>
          <w:p w14:paraId="485301EA" w14:textId="10927D82"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237</w:t>
            </w:r>
          </w:p>
        </w:tc>
        <w:tc>
          <w:tcPr>
            <w:tcW w:w="5010" w:type="dxa"/>
            <w:tcMar>
              <w:left w:w="105" w:type="dxa"/>
              <w:right w:w="105" w:type="dxa"/>
            </w:tcMar>
          </w:tcPr>
          <w:p w14:paraId="4C76CA38" w14:textId="08CA1454"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The number of households in TA in Oxford has seen a small decline since March 24. Good progress made between May and Dec with number slowly coming down due to mitigations taken by the Council. However, with homelessness rates and new TA placements still high, </w:t>
            </w:r>
            <w:r w:rsidR="7E9823A6" w:rsidRPr="7DE059BD">
              <w:rPr>
                <w:rFonts w:ascii="Aptos" w:eastAsia="Aptos" w:hAnsi="Aptos" w:cs="Aptos"/>
                <w:color w:val="000000" w:themeColor="text1"/>
                <w:sz w:val="22"/>
                <w:szCs w:val="22"/>
                <w:lang w:val="en-US"/>
              </w:rPr>
              <w:t>significant risk of further increases</w:t>
            </w:r>
            <w:r w:rsidRPr="7DE059BD">
              <w:rPr>
                <w:rFonts w:ascii="Aptos" w:eastAsia="Aptos" w:hAnsi="Aptos" w:cs="Aptos"/>
                <w:color w:val="000000" w:themeColor="text1"/>
                <w:sz w:val="22"/>
                <w:szCs w:val="22"/>
                <w:lang w:val="en-US"/>
              </w:rPr>
              <w:t>, keeping the rating at amber. This modest decrease has been made possible by the Council’s ongoing investment in homelessness prevention and the expansion of move-on accommodation.</w:t>
            </w:r>
          </w:p>
          <w:p w14:paraId="25951846" w14:textId="0EB08633" w:rsidR="3A2CF1E3" w:rsidRDefault="3A2CF1E3"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Outside of the reporting period, a</w:t>
            </w:r>
            <w:r w:rsidR="7DE059BD" w:rsidRPr="7DE059BD">
              <w:rPr>
                <w:rFonts w:ascii="Aptos" w:eastAsia="Aptos" w:hAnsi="Aptos" w:cs="Aptos"/>
                <w:color w:val="000000" w:themeColor="text1"/>
                <w:sz w:val="22"/>
                <w:szCs w:val="22"/>
                <w:lang w:val="en-US"/>
              </w:rPr>
              <w:t xml:space="preserve"> very challenging January saw a further 63 households placed into TA, so we expect ongoing pressure.</w:t>
            </w:r>
          </w:p>
        </w:tc>
        <w:tc>
          <w:tcPr>
            <w:tcW w:w="802" w:type="dxa"/>
            <w:shd w:val="clear" w:color="auto" w:fill="FFC000"/>
            <w:tcMar>
              <w:left w:w="105" w:type="dxa"/>
              <w:right w:w="105" w:type="dxa"/>
            </w:tcMar>
          </w:tcPr>
          <w:p w14:paraId="3630DD4F" w14:textId="711E0465" w:rsidR="7DE059BD" w:rsidRDefault="7DE059BD" w:rsidP="7DE059BD">
            <w:pPr>
              <w:rPr>
                <w:rFonts w:ascii="Aptos" w:eastAsia="Aptos" w:hAnsi="Aptos" w:cs="Aptos"/>
                <w:color w:val="000000" w:themeColor="text1"/>
                <w:sz w:val="22"/>
                <w:szCs w:val="22"/>
              </w:rPr>
            </w:pPr>
          </w:p>
        </w:tc>
      </w:tr>
      <w:tr w:rsidR="7DE059BD" w14:paraId="75DE1636" w14:textId="77777777" w:rsidTr="7DE059BD">
        <w:trPr>
          <w:trHeight w:val="300"/>
        </w:trPr>
        <w:tc>
          <w:tcPr>
            <w:tcW w:w="1830" w:type="dxa"/>
            <w:tcMar>
              <w:left w:w="105" w:type="dxa"/>
              <w:right w:w="105" w:type="dxa"/>
            </w:tcMar>
          </w:tcPr>
          <w:p w14:paraId="253060C3" w14:textId="3656A0C7" w:rsidR="5691318C" w:rsidRDefault="5691318C"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1.2 </w:t>
            </w:r>
            <w:r w:rsidR="7DE059BD" w:rsidRPr="7DE059BD">
              <w:rPr>
                <w:rFonts w:ascii="Aptos" w:eastAsia="Aptos" w:hAnsi="Aptos" w:cs="Aptos"/>
                <w:color w:val="000000" w:themeColor="text1"/>
                <w:sz w:val="22"/>
                <w:szCs w:val="22"/>
                <w:lang w:val="en-US"/>
              </w:rPr>
              <w:t>Number of households in hotel accommodation</w:t>
            </w:r>
          </w:p>
        </w:tc>
        <w:tc>
          <w:tcPr>
            <w:tcW w:w="975" w:type="dxa"/>
            <w:tcMar>
              <w:left w:w="105" w:type="dxa"/>
              <w:right w:w="105" w:type="dxa"/>
            </w:tcMar>
          </w:tcPr>
          <w:p w14:paraId="34C100FA" w14:textId="5F180023"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123</w:t>
            </w:r>
          </w:p>
        </w:tc>
        <w:tc>
          <w:tcPr>
            <w:tcW w:w="1230" w:type="dxa"/>
            <w:tcMar>
              <w:left w:w="105" w:type="dxa"/>
              <w:right w:w="105" w:type="dxa"/>
            </w:tcMar>
          </w:tcPr>
          <w:p w14:paraId="6544BDEB" w14:textId="3D816F09"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107</w:t>
            </w:r>
          </w:p>
        </w:tc>
        <w:tc>
          <w:tcPr>
            <w:tcW w:w="5010" w:type="dxa"/>
            <w:tcMar>
              <w:left w:w="105" w:type="dxa"/>
              <w:right w:w="105" w:type="dxa"/>
            </w:tcMar>
          </w:tcPr>
          <w:p w14:paraId="5ACEB80B" w14:textId="55E15542"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With the overall decrease in TA numbers, the number of households in hotels and BnB accommodation has also declined. In addition to the previously mentioned factors, this reduction has been further supported by the introduction of new PSL TA accommodation (see mitigation below for details). However, with 107 households still in hotels, the rating remains amber.</w:t>
            </w:r>
          </w:p>
        </w:tc>
        <w:tc>
          <w:tcPr>
            <w:tcW w:w="802" w:type="dxa"/>
            <w:shd w:val="clear" w:color="auto" w:fill="FFC000"/>
            <w:tcMar>
              <w:left w:w="105" w:type="dxa"/>
              <w:right w:w="105" w:type="dxa"/>
            </w:tcMar>
          </w:tcPr>
          <w:p w14:paraId="5A390F57" w14:textId="555C8003" w:rsidR="7DE059BD" w:rsidRDefault="7DE059BD" w:rsidP="7DE059BD">
            <w:pPr>
              <w:rPr>
                <w:rFonts w:ascii="Aptos" w:eastAsia="Aptos" w:hAnsi="Aptos" w:cs="Aptos"/>
                <w:color w:val="000000" w:themeColor="text1"/>
                <w:sz w:val="22"/>
                <w:szCs w:val="22"/>
              </w:rPr>
            </w:pPr>
          </w:p>
        </w:tc>
      </w:tr>
      <w:tr w:rsidR="7DE059BD" w14:paraId="6611F9FA" w14:textId="77777777" w:rsidTr="7DE059BD">
        <w:trPr>
          <w:trHeight w:val="300"/>
        </w:trPr>
        <w:tc>
          <w:tcPr>
            <w:tcW w:w="1830" w:type="dxa"/>
            <w:tcMar>
              <w:left w:w="105" w:type="dxa"/>
              <w:right w:w="105" w:type="dxa"/>
            </w:tcMar>
          </w:tcPr>
          <w:p w14:paraId="19259432" w14:textId="1195B030" w:rsidR="07752D2D" w:rsidRDefault="07752D2D"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1.3 </w:t>
            </w:r>
            <w:r w:rsidR="7DE059BD" w:rsidRPr="7DE059BD">
              <w:rPr>
                <w:rFonts w:ascii="Aptos" w:eastAsia="Aptos" w:hAnsi="Aptos" w:cs="Aptos"/>
                <w:color w:val="000000" w:themeColor="text1"/>
                <w:sz w:val="22"/>
                <w:szCs w:val="22"/>
                <w:lang w:val="en-US"/>
              </w:rPr>
              <w:t>Number of households with children in hotels over 6 weeks</w:t>
            </w:r>
          </w:p>
        </w:tc>
        <w:tc>
          <w:tcPr>
            <w:tcW w:w="975" w:type="dxa"/>
            <w:tcMar>
              <w:left w:w="105" w:type="dxa"/>
              <w:right w:w="105" w:type="dxa"/>
            </w:tcMar>
          </w:tcPr>
          <w:p w14:paraId="33FF2C6A" w14:textId="0B2D54E8"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14</w:t>
            </w:r>
          </w:p>
        </w:tc>
        <w:tc>
          <w:tcPr>
            <w:tcW w:w="1230" w:type="dxa"/>
            <w:tcMar>
              <w:left w:w="105" w:type="dxa"/>
              <w:right w:w="105" w:type="dxa"/>
            </w:tcMar>
          </w:tcPr>
          <w:p w14:paraId="68390569" w14:textId="35589DA4"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8</w:t>
            </w:r>
          </w:p>
        </w:tc>
        <w:tc>
          <w:tcPr>
            <w:tcW w:w="5010" w:type="dxa"/>
            <w:tcMar>
              <w:left w:w="105" w:type="dxa"/>
              <w:right w:w="105" w:type="dxa"/>
            </w:tcMar>
          </w:tcPr>
          <w:p w14:paraId="4344D8C0" w14:textId="6C1390C9"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The Council has a responsibility to avoid hotel placements for 6 weeks and over for households with children. We had 14 families in hotel accommodation in March 24</w:t>
            </w:r>
            <w:r w:rsidR="01C00227" w:rsidRPr="7DE059BD">
              <w:rPr>
                <w:rFonts w:ascii="Aptos" w:eastAsia="Aptos" w:hAnsi="Aptos" w:cs="Aptos"/>
                <w:color w:val="000000" w:themeColor="text1"/>
                <w:sz w:val="22"/>
                <w:szCs w:val="22"/>
                <w:lang w:val="en-US"/>
              </w:rPr>
              <w:t xml:space="preserve"> over 6 weeks</w:t>
            </w:r>
            <w:r w:rsidRPr="7DE059BD">
              <w:rPr>
                <w:rFonts w:ascii="Aptos" w:eastAsia="Aptos" w:hAnsi="Aptos" w:cs="Aptos"/>
                <w:color w:val="000000" w:themeColor="text1"/>
                <w:sz w:val="22"/>
                <w:szCs w:val="22"/>
                <w:lang w:val="en-US"/>
              </w:rPr>
              <w:t>, whilst trying to source accommodation for those families. Since March a huge effort has led to this number coming down significantly to 3 in September 2024. However, we have since seen an increase and this number has now gone to 8, despite the measures put in place. This is due to an increased presentation rate of families. Mitigations includes more PSL leasing, continued focus on sourcing move on accommodation in social and private sectors, and increased staffing to assist with homelessness decisions and caseworking. RAG rating changed to red due to increase</w:t>
            </w:r>
            <w:r w:rsidR="1E18B39D" w:rsidRPr="7DE059BD">
              <w:rPr>
                <w:rFonts w:ascii="Aptos" w:eastAsia="Aptos" w:hAnsi="Aptos" w:cs="Aptos"/>
                <w:color w:val="000000" w:themeColor="text1"/>
                <w:sz w:val="22"/>
                <w:szCs w:val="22"/>
                <w:lang w:val="en-US"/>
              </w:rPr>
              <w:t>.</w:t>
            </w:r>
          </w:p>
        </w:tc>
        <w:tc>
          <w:tcPr>
            <w:tcW w:w="802" w:type="dxa"/>
            <w:shd w:val="clear" w:color="auto" w:fill="FF0000"/>
            <w:tcMar>
              <w:left w:w="105" w:type="dxa"/>
              <w:right w:w="105" w:type="dxa"/>
            </w:tcMar>
          </w:tcPr>
          <w:p w14:paraId="01EFDD4D" w14:textId="2D091220" w:rsidR="7DE059BD" w:rsidRDefault="7DE059BD" w:rsidP="7DE059BD">
            <w:pPr>
              <w:rPr>
                <w:rFonts w:ascii="Aptos" w:eastAsia="Aptos" w:hAnsi="Aptos" w:cs="Aptos"/>
                <w:color w:val="FF0000"/>
                <w:sz w:val="22"/>
                <w:szCs w:val="22"/>
              </w:rPr>
            </w:pPr>
          </w:p>
        </w:tc>
      </w:tr>
      <w:tr w:rsidR="7DE059BD" w14:paraId="5440188F" w14:textId="77777777" w:rsidTr="7DE059BD">
        <w:trPr>
          <w:trHeight w:val="300"/>
        </w:trPr>
        <w:tc>
          <w:tcPr>
            <w:tcW w:w="1830" w:type="dxa"/>
            <w:tcMar>
              <w:left w:w="105" w:type="dxa"/>
              <w:right w:w="105" w:type="dxa"/>
            </w:tcMar>
          </w:tcPr>
          <w:p w14:paraId="1A3E2353" w14:textId="46FD33CF" w:rsidR="0311B211" w:rsidRDefault="0311B211"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1.4 </w:t>
            </w:r>
            <w:r w:rsidR="7DE059BD" w:rsidRPr="7DE059BD">
              <w:rPr>
                <w:rFonts w:ascii="Aptos" w:eastAsia="Aptos" w:hAnsi="Aptos" w:cs="Aptos"/>
                <w:color w:val="000000" w:themeColor="text1"/>
                <w:sz w:val="22"/>
                <w:szCs w:val="22"/>
                <w:lang w:val="en-US"/>
              </w:rPr>
              <w:t xml:space="preserve">Current weekly placement rate into temporary accommodation </w:t>
            </w:r>
            <w:r w:rsidR="7DE059BD" w:rsidRPr="7DE059BD">
              <w:rPr>
                <w:rFonts w:ascii="Aptos" w:eastAsia="Aptos" w:hAnsi="Aptos" w:cs="Aptos"/>
                <w:color w:val="000000" w:themeColor="text1"/>
                <w:sz w:val="22"/>
                <w:szCs w:val="22"/>
                <w:lang w:val="en-US"/>
              </w:rPr>
              <w:lastRenderedPageBreak/>
              <w:t>(number of households)</w:t>
            </w:r>
          </w:p>
        </w:tc>
        <w:tc>
          <w:tcPr>
            <w:tcW w:w="975" w:type="dxa"/>
            <w:tcMar>
              <w:left w:w="105" w:type="dxa"/>
              <w:right w:w="105" w:type="dxa"/>
            </w:tcMar>
          </w:tcPr>
          <w:p w14:paraId="0872CFE7" w14:textId="3ED6878E"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lastRenderedPageBreak/>
              <w:t>10.18 (Oct 23 to Mar 24)</w:t>
            </w:r>
          </w:p>
        </w:tc>
        <w:tc>
          <w:tcPr>
            <w:tcW w:w="1230" w:type="dxa"/>
            <w:tcMar>
              <w:left w:w="105" w:type="dxa"/>
              <w:right w:w="105" w:type="dxa"/>
            </w:tcMar>
          </w:tcPr>
          <w:p w14:paraId="5E7B9431" w14:textId="2297C606"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8.97 (April to Dec average)</w:t>
            </w:r>
          </w:p>
        </w:tc>
        <w:tc>
          <w:tcPr>
            <w:tcW w:w="5010" w:type="dxa"/>
            <w:tcMar>
              <w:left w:w="105" w:type="dxa"/>
              <w:right w:w="105" w:type="dxa"/>
            </w:tcMar>
          </w:tcPr>
          <w:p w14:paraId="52295707" w14:textId="0B17954B"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Despite a slight decrease since March, the number of households being placed in TA remains exceptionally high. On average, 8-9 households enter TA each week, a significant increase from the previous norm of 3-4. While efforts are being made </w:t>
            </w:r>
            <w:r w:rsidRPr="7DE059BD">
              <w:rPr>
                <w:rFonts w:ascii="Aptos" w:eastAsia="Aptos" w:hAnsi="Aptos" w:cs="Aptos"/>
                <w:color w:val="000000" w:themeColor="text1"/>
                <w:sz w:val="22"/>
                <w:szCs w:val="22"/>
                <w:lang w:val="en-US"/>
              </w:rPr>
              <w:lastRenderedPageBreak/>
              <w:t xml:space="preserve">to reduce this through investment in prevention services, broader factors such as housing market conditions and economic conditions continue to play a major role. In particular, rising rental costs leading to PRS evictions and discharges from a Home Office Asylum hotel are key contributors to homelessness in the city. </w:t>
            </w:r>
          </w:p>
        </w:tc>
        <w:tc>
          <w:tcPr>
            <w:tcW w:w="802" w:type="dxa"/>
            <w:shd w:val="clear" w:color="auto" w:fill="FF0000"/>
            <w:tcMar>
              <w:left w:w="105" w:type="dxa"/>
              <w:right w:w="105" w:type="dxa"/>
            </w:tcMar>
          </w:tcPr>
          <w:p w14:paraId="62211550" w14:textId="5E2FE7F9" w:rsidR="7DE059BD" w:rsidRDefault="7DE059BD" w:rsidP="7DE059BD">
            <w:pPr>
              <w:rPr>
                <w:rFonts w:ascii="Aptos" w:eastAsia="Aptos" w:hAnsi="Aptos" w:cs="Aptos"/>
                <w:color w:val="000000" w:themeColor="text1"/>
                <w:sz w:val="22"/>
                <w:szCs w:val="22"/>
              </w:rPr>
            </w:pPr>
          </w:p>
        </w:tc>
      </w:tr>
      <w:tr w:rsidR="7DE059BD" w14:paraId="6C6E0CBC" w14:textId="77777777" w:rsidTr="7DE059BD">
        <w:trPr>
          <w:trHeight w:val="300"/>
        </w:trPr>
        <w:tc>
          <w:tcPr>
            <w:tcW w:w="1830" w:type="dxa"/>
            <w:tcMar>
              <w:left w:w="105" w:type="dxa"/>
              <w:right w:w="105" w:type="dxa"/>
            </w:tcMar>
          </w:tcPr>
          <w:p w14:paraId="1851F5CD" w14:textId="6474C757" w:rsidR="3DE65739" w:rsidRDefault="3DE65739"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1.5 </w:t>
            </w:r>
            <w:r w:rsidR="7DE059BD" w:rsidRPr="7DE059BD">
              <w:rPr>
                <w:rFonts w:ascii="Aptos" w:eastAsia="Aptos" w:hAnsi="Aptos" w:cs="Aptos"/>
                <w:color w:val="000000" w:themeColor="text1"/>
                <w:sz w:val="22"/>
                <w:szCs w:val="22"/>
                <w:lang w:val="en-US"/>
              </w:rPr>
              <w:t>Number of accepted homelessness relief cases per quarter (most recent published quarter)</w:t>
            </w:r>
          </w:p>
        </w:tc>
        <w:tc>
          <w:tcPr>
            <w:tcW w:w="975" w:type="dxa"/>
            <w:tcMar>
              <w:left w:w="105" w:type="dxa"/>
              <w:right w:w="105" w:type="dxa"/>
            </w:tcMar>
          </w:tcPr>
          <w:p w14:paraId="190DC860" w14:textId="1D2B755F"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103 (Q4 23/24)</w:t>
            </w:r>
          </w:p>
        </w:tc>
        <w:tc>
          <w:tcPr>
            <w:tcW w:w="1230" w:type="dxa"/>
            <w:tcMar>
              <w:left w:w="105" w:type="dxa"/>
              <w:right w:w="105" w:type="dxa"/>
            </w:tcMar>
          </w:tcPr>
          <w:p w14:paraId="6CB7E8B7" w14:textId="2A2D483D"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121 (Q3 Oct-Dec 24)</w:t>
            </w:r>
          </w:p>
        </w:tc>
        <w:tc>
          <w:tcPr>
            <w:tcW w:w="5010" w:type="dxa"/>
            <w:tcMar>
              <w:left w:w="105" w:type="dxa"/>
              <w:right w:w="105" w:type="dxa"/>
            </w:tcMar>
          </w:tcPr>
          <w:p w14:paraId="57A3137F" w14:textId="511DFA8B" w:rsidR="7DE059BD" w:rsidRDefault="7DE059BD"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The number of accepted homelessness relief cases remains at historic highs in Oxford, and risen further, linked to factors explained in the previous comment. Two years ago, we typically accepted 30-40 relief cases a quarter, we accepted 121 last quarter, which demonstrates the high levels of homelessness in the city. It’s putting considerable strain on the Housing Needs Team to be able to support the increased number of households approaching us, but staffing has been increased. </w:t>
            </w:r>
          </w:p>
        </w:tc>
        <w:tc>
          <w:tcPr>
            <w:tcW w:w="802" w:type="dxa"/>
            <w:shd w:val="clear" w:color="auto" w:fill="FF0000"/>
            <w:tcMar>
              <w:left w:w="105" w:type="dxa"/>
              <w:right w:w="105" w:type="dxa"/>
            </w:tcMar>
          </w:tcPr>
          <w:p w14:paraId="45754AA4" w14:textId="77F7FC98" w:rsidR="7DE059BD" w:rsidRDefault="7DE059BD" w:rsidP="7DE059BD">
            <w:pPr>
              <w:rPr>
                <w:rFonts w:ascii="Aptos" w:eastAsia="Aptos" w:hAnsi="Aptos" w:cs="Aptos"/>
                <w:color w:val="000000" w:themeColor="text1"/>
                <w:sz w:val="22"/>
                <w:szCs w:val="22"/>
              </w:rPr>
            </w:pPr>
          </w:p>
        </w:tc>
      </w:tr>
    </w:tbl>
    <w:p w14:paraId="4A608DD4" w14:textId="368406A2" w:rsidR="7DE059BD" w:rsidRDefault="7DE059BD" w:rsidP="7DE059BD"/>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1245"/>
        <w:gridCol w:w="1920"/>
        <w:gridCol w:w="1380"/>
        <w:gridCol w:w="4500"/>
        <w:gridCol w:w="802"/>
      </w:tblGrid>
      <w:tr w:rsidR="7DE059BD" w14:paraId="264FAFD4" w14:textId="77777777" w:rsidTr="7DE059BD">
        <w:trPr>
          <w:trHeight w:val="300"/>
        </w:trPr>
        <w:tc>
          <w:tcPr>
            <w:tcW w:w="9847" w:type="dxa"/>
            <w:gridSpan w:val="5"/>
            <w:shd w:val="clear" w:color="auto" w:fill="A5C9EB"/>
            <w:tcMar>
              <w:left w:w="105" w:type="dxa"/>
              <w:right w:w="105" w:type="dxa"/>
            </w:tcMar>
          </w:tcPr>
          <w:p w14:paraId="6A3894DD" w14:textId="621EFE37" w:rsidR="7DE059BD" w:rsidRDefault="7DE059BD" w:rsidP="7DE059BD">
            <w:pPr>
              <w:spacing w:line="279" w:lineRule="auto"/>
              <w:rPr>
                <w:rFonts w:ascii="Aptos" w:eastAsia="Aptos" w:hAnsi="Aptos" w:cs="Aptos"/>
                <w:color w:val="000000" w:themeColor="text1"/>
                <w:sz w:val="22"/>
                <w:szCs w:val="22"/>
              </w:rPr>
            </w:pPr>
            <w:r w:rsidRPr="7DE059BD">
              <w:rPr>
                <w:rFonts w:ascii="Aptos" w:eastAsia="Aptos" w:hAnsi="Aptos" w:cs="Aptos"/>
                <w:b/>
                <w:bCs/>
                <w:color w:val="000000" w:themeColor="text1"/>
                <w:sz w:val="22"/>
                <w:szCs w:val="22"/>
                <w:lang w:val="en-US"/>
              </w:rPr>
              <w:t>Temporary Accommodation Demand Mitigations</w:t>
            </w:r>
          </w:p>
        </w:tc>
      </w:tr>
      <w:tr w:rsidR="7DE059BD" w14:paraId="58E08AFD" w14:textId="77777777" w:rsidTr="7DE059BD">
        <w:trPr>
          <w:trHeight w:val="300"/>
        </w:trPr>
        <w:tc>
          <w:tcPr>
            <w:tcW w:w="1245" w:type="dxa"/>
            <w:shd w:val="clear" w:color="auto" w:fill="A5C9EB"/>
            <w:tcMar>
              <w:left w:w="105" w:type="dxa"/>
              <w:right w:w="105" w:type="dxa"/>
            </w:tcMar>
          </w:tcPr>
          <w:p w14:paraId="3231E120" w14:textId="144C8303" w:rsidR="7DE059BD" w:rsidRDefault="7DE059BD"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Area </w:t>
            </w:r>
          </w:p>
        </w:tc>
        <w:tc>
          <w:tcPr>
            <w:tcW w:w="1920" w:type="dxa"/>
            <w:shd w:val="clear" w:color="auto" w:fill="A5C9EB"/>
            <w:tcMar>
              <w:left w:w="105" w:type="dxa"/>
              <w:right w:w="105" w:type="dxa"/>
            </w:tcMar>
          </w:tcPr>
          <w:p w14:paraId="29D70718" w14:textId="7E9E585A"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 Description </w:t>
            </w:r>
          </w:p>
        </w:tc>
        <w:tc>
          <w:tcPr>
            <w:tcW w:w="1380" w:type="dxa"/>
            <w:shd w:val="clear" w:color="auto" w:fill="A5C9EB"/>
            <w:tcMar>
              <w:left w:w="105" w:type="dxa"/>
              <w:right w:w="105" w:type="dxa"/>
            </w:tcMar>
          </w:tcPr>
          <w:p w14:paraId="0F03D785" w14:textId="0B977F04" w:rsidR="7DE059BD" w:rsidRDefault="7DE059BD"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Progress statues</w:t>
            </w:r>
          </w:p>
        </w:tc>
        <w:tc>
          <w:tcPr>
            <w:tcW w:w="4500" w:type="dxa"/>
            <w:shd w:val="clear" w:color="auto" w:fill="A5C9EB"/>
            <w:tcMar>
              <w:left w:w="105" w:type="dxa"/>
              <w:right w:w="105" w:type="dxa"/>
            </w:tcMar>
          </w:tcPr>
          <w:p w14:paraId="26B41502" w14:textId="64D77EA6"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Comments </w:t>
            </w:r>
          </w:p>
        </w:tc>
        <w:tc>
          <w:tcPr>
            <w:tcW w:w="802" w:type="dxa"/>
            <w:shd w:val="clear" w:color="auto" w:fill="A5C9EB"/>
            <w:tcMar>
              <w:left w:w="105" w:type="dxa"/>
              <w:right w:w="105" w:type="dxa"/>
            </w:tcMar>
          </w:tcPr>
          <w:p w14:paraId="7A0014EC" w14:textId="690A76C1"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RAG rating </w:t>
            </w:r>
          </w:p>
        </w:tc>
      </w:tr>
      <w:tr w:rsidR="7DE059BD" w14:paraId="04B737F5" w14:textId="77777777" w:rsidTr="7DE059BD">
        <w:trPr>
          <w:trHeight w:val="300"/>
        </w:trPr>
        <w:tc>
          <w:tcPr>
            <w:tcW w:w="1245" w:type="dxa"/>
            <w:vMerge w:val="restart"/>
            <w:tcMar>
              <w:left w:w="105" w:type="dxa"/>
              <w:right w:w="105" w:type="dxa"/>
            </w:tcMar>
          </w:tcPr>
          <w:p w14:paraId="07CE80DB" w14:textId="1184AEAC" w:rsidR="0B166896" w:rsidRDefault="0B166896"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2</w:t>
            </w:r>
            <w:r w:rsidR="48132C6C" w:rsidRPr="7DE059BD">
              <w:rPr>
                <w:rFonts w:ascii="Aptos" w:eastAsia="Aptos" w:hAnsi="Aptos" w:cs="Aptos"/>
                <w:color w:val="000000" w:themeColor="text1"/>
                <w:sz w:val="22"/>
                <w:szCs w:val="22"/>
                <w:lang w:val="en-US"/>
              </w:rPr>
              <w:t>.0</w:t>
            </w:r>
            <w:r w:rsidRPr="7DE059BD">
              <w:rPr>
                <w:rFonts w:ascii="Aptos" w:eastAsia="Aptos" w:hAnsi="Aptos" w:cs="Aptos"/>
                <w:color w:val="000000" w:themeColor="text1"/>
                <w:sz w:val="22"/>
                <w:szCs w:val="22"/>
                <w:lang w:val="en-US"/>
              </w:rPr>
              <w:t xml:space="preserve"> </w:t>
            </w:r>
            <w:r w:rsidR="7DE059BD" w:rsidRPr="7DE059BD">
              <w:rPr>
                <w:rFonts w:ascii="Aptos" w:eastAsia="Aptos" w:hAnsi="Aptos" w:cs="Aptos"/>
                <w:color w:val="000000" w:themeColor="text1"/>
                <w:sz w:val="22"/>
                <w:szCs w:val="22"/>
                <w:lang w:val="en-US"/>
              </w:rPr>
              <w:t xml:space="preserve">Prevention </w:t>
            </w:r>
          </w:p>
        </w:tc>
        <w:tc>
          <w:tcPr>
            <w:tcW w:w="1920" w:type="dxa"/>
            <w:tcMar>
              <w:left w:w="105" w:type="dxa"/>
              <w:right w:w="105" w:type="dxa"/>
            </w:tcMar>
          </w:tcPr>
          <w:p w14:paraId="5A636A50" w14:textId="3E92A35B" w:rsidR="3D0051FA" w:rsidRDefault="3D0051FA"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2.1 </w:t>
            </w:r>
            <w:r w:rsidR="7DE059BD" w:rsidRPr="7DE059BD">
              <w:rPr>
                <w:rFonts w:ascii="Aptos" w:eastAsia="Aptos" w:hAnsi="Aptos" w:cs="Aptos"/>
                <w:color w:val="000000" w:themeColor="text1"/>
                <w:sz w:val="22"/>
                <w:szCs w:val="22"/>
                <w:lang w:val="en-US"/>
              </w:rPr>
              <w:t xml:space="preserve">Delivery of Homelessness Prevention “Invest to Save” to increase teams capacity to focus on prevention </w:t>
            </w:r>
          </w:p>
        </w:tc>
        <w:tc>
          <w:tcPr>
            <w:tcW w:w="1380" w:type="dxa"/>
            <w:tcMar>
              <w:left w:w="105" w:type="dxa"/>
              <w:right w:w="105" w:type="dxa"/>
            </w:tcMar>
          </w:tcPr>
          <w:p w14:paraId="06262581" w14:textId="5304BB8C" w:rsidR="7DE059BD" w:rsidRDefault="7DE059BD"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Completed</w:t>
            </w:r>
          </w:p>
        </w:tc>
        <w:tc>
          <w:tcPr>
            <w:tcW w:w="4500" w:type="dxa"/>
            <w:tcMar>
              <w:left w:w="105" w:type="dxa"/>
              <w:right w:w="105" w:type="dxa"/>
            </w:tcMar>
          </w:tcPr>
          <w:p w14:paraId="3389C140" w14:textId="719A9703"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A fixed term investment has been made into the Councils Housing Options and Early Intervention teams from a central government grant, with 4 new officers recruited, and is supporting a large increase in number of households being supported and an increase in successful outcomes achieved (see points below). Due to the success we have extended the resource for at least another year via grant funds. </w:t>
            </w:r>
          </w:p>
        </w:tc>
        <w:tc>
          <w:tcPr>
            <w:tcW w:w="802" w:type="dxa"/>
            <w:shd w:val="clear" w:color="auto" w:fill="92D050"/>
            <w:tcMar>
              <w:left w:w="105" w:type="dxa"/>
              <w:right w:w="105" w:type="dxa"/>
            </w:tcMar>
          </w:tcPr>
          <w:p w14:paraId="05463081" w14:textId="601ACBAD" w:rsidR="7DE059BD" w:rsidRDefault="7DE059BD" w:rsidP="7DE059BD">
            <w:pPr>
              <w:rPr>
                <w:rFonts w:ascii="Aptos" w:eastAsia="Aptos" w:hAnsi="Aptos" w:cs="Aptos"/>
                <w:color w:val="000000" w:themeColor="text1"/>
                <w:sz w:val="22"/>
                <w:szCs w:val="22"/>
              </w:rPr>
            </w:pPr>
          </w:p>
        </w:tc>
      </w:tr>
      <w:tr w:rsidR="7DE059BD" w14:paraId="6C616B60" w14:textId="77777777" w:rsidTr="7DE059BD">
        <w:trPr>
          <w:trHeight w:val="300"/>
        </w:trPr>
        <w:tc>
          <w:tcPr>
            <w:tcW w:w="1245" w:type="dxa"/>
            <w:vMerge/>
            <w:vAlign w:val="center"/>
          </w:tcPr>
          <w:p w14:paraId="3473A296" w14:textId="77777777" w:rsidR="009F1833" w:rsidRDefault="009F1833"/>
        </w:tc>
        <w:tc>
          <w:tcPr>
            <w:tcW w:w="1920" w:type="dxa"/>
            <w:tcMar>
              <w:left w:w="105" w:type="dxa"/>
              <w:right w:w="105" w:type="dxa"/>
            </w:tcMar>
          </w:tcPr>
          <w:p w14:paraId="42FC3F70" w14:textId="335C8317" w:rsidR="674B58A3" w:rsidRDefault="674B58A3" w:rsidP="7DE059BD">
            <w:pPr>
              <w:spacing w:line="279" w:lineRule="auto"/>
              <w:rPr>
                <w:rFonts w:ascii="Aptos" w:eastAsia="Aptos" w:hAnsi="Aptos" w:cs="Aptos"/>
                <w:color w:val="000000" w:themeColor="text1"/>
                <w:sz w:val="22"/>
                <w:szCs w:val="22"/>
                <w:lang w:val="en-US"/>
              </w:rPr>
            </w:pPr>
            <w:r w:rsidRPr="7DE059BD">
              <w:rPr>
                <w:rFonts w:ascii="Aptos" w:eastAsia="Aptos" w:hAnsi="Aptos" w:cs="Aptos"/>
                <w:color w:val="000000" w:themeColor="text1"/>
                <w:sz w:val="22"/>
                <w:szCs w:val="22"/>
                <w:lang w:val="en-US"/>
              </w:rPr>
              <w:t xml:space="preserve">2.2 </w:t>
            </w:r>
            <w:r w:rsidR="7DE059BD" w:rsidRPr="7DE059BD">
              <w:rPr>
                <w:rFonts w:ascii="Aptos" w:eastAsia="Aptos" w:hAnsi="Aptos" w:cs="Aptos"/>
                <w:color w:val="000000" w:themeColor="text1"/>
                <w:sz w:val="22"/>
                <w:szCs w:val="22"/>
                <w:lang w:val="en-US"/>
              </w:rPr>
              <w:t>Homelessness Prevention 50% or more of all duties taken</w:t>
            </w:r>
          </w:p>
        </w:tc>
        <w:tc>
          <w:tcPr>
            <w:tcW w:w="1380" w:type="dxa"/>
            <w:tcMar>
              <w:left w:w="105" w:type="dxa"/>
              <w:right w:w="105" w:type="dxa"/>
            </w:tcMar>
          </w:tcPr>
          <w:p w14:paraId="754EBFA1" w14:textId="1299BF19"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Ongoing</w:t>
            </w:r>
          </w:p>
        </w:tc>
        <w:tc>
          <w:tcPr>
            <w:tcW w:w="4500" w:type="dxa"/>
            <w:tcMar>
              <w:left w:w="105" w:type="dxa"/>
              <w:right w:w="105" w:type="dxa"/>
            </w:tcMar>
          </w:tcPr>
          <w:p w14:paraId="1EB57E6B" w14:textId="07C6DE82"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A good indicator of health in statutory homelessness services is the balance between how much activity a Council does at the prevention stage v. how much it does in relief (once someone is already homeless). Therefore we target 50% or more of our duties to be Prevention Duties. During the first three quarters of the year we have achieved 53.7% prevention, but the recent months have seen more relief taken due to increased homelessness presentations, we continue to monitor and will take action if required.</w:t>
            </w:r>
          </w:p>
        </w:tc>
        <w:tc>
          <w:tcPr>
            <w:tcW w:w="802" w:type="dxa"/>
            <w:shd w:val="clear" w:color="auto" w:fill="FFC000"/>
            <w:tcMar>
              <w:left w:w="105" w:type="dxa"/>
              <w:right w:w="105" w:type="dxa"/>
            </w:tcMar>
          </w:tcPr>
          <w:p w14:paraId="588AA7EF" w14:textId="29C938E4" w:rsidR="7DE059BD" w:rsidRDefault="7DE059BD" w:rsidP="7DE059BD">
            <w:pPr>
              <w:rPr>
                <w:rFonts w:ascii="Aptos" w:eastAsia="Aptos" w:hAnsi="Aptos" w:cs="Aptos"/>
                <w:color w:val="000000" w:themeColor="text1"/>
                <w:sz w:val="22"/>
                <w:szCs w:val="22"/>
              </w:rPr>
            </w:pPr>
          </w:p>
        </w:tc>
      </w:tr>
      <w:tr w:rsidR="7DE059BD" w14:paraId="4EA3A94D" w14:textId="77777777" w:rsidTr="7DE059BD">
        <w:trPr>
          <w:trHeight w:val="300"/>
        </w:trPr>
        <w:tc>
          <w:tcPr>
            <w:tcW w:w="1245" w:type="dxa"/>
            <w:vMerge/>
            <w:vAlign w:val="center"/>
          </w:tcPr>
          <w:p w14:paraId="498DE1C8" w14:textId="77777777" w:rsidR="009F1833" w:rsidRDefault="009F1833"/>
        </w:tc>
        <w:tc>
          <w:tcPr>
            <w:tcW w:w="1920" w:type="dxa"/>
            <w:tcMar>
              <w:left w:w="105" w:type="dxa"/>
              <w:right w:w="105" w:type="dxa"/>
            </w:tcMar>
          </w:tcPr>
          <w:p w14:paraId="39BA35E8" w14:textId="6A017867" w:rsidR="4B60B74B" w:rsidRDefault="4B60B74B"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2.3 </w:t>
            </w:r>
            <w:r w:rsidR="7DE059BD" w:rsidRPr="7DE059BD">
              <w:rPr>
                <w:rFonts w:ascii="Aptos" w:eastAsia="Aptos" w:hAnsi="Aptos" w:cs="Aptos"/>
                <w:color w:val="000000" w:themeColor="text1"/>
                <w:sz w:val="22"/>
                <w:szCs w:val="22"/>
                <w:lang w:val="en-US"/>
              </w:rPr>
              <w:t xml:space="preserve">Percentage of homelessness prevention outcomes being positive </w:t>
            </w:r>
          </w:p>
        </w:tc>
        <w:tc>
          <w:tcPr>
            <w:tcW w:w="1380" w:type="dxa"/>
            <w:tcMar>
              <w:left w:w="105" w:type="dxa"/>
              <w:right w:w="105" w:type="dxa"/>
            </w:tcMar>
          </w:tcPr>
          <w:p w14:paraId="6A4DF581" w14:textId="430C0979"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Ongoing</w:t>
            </w:r>
          </w:p>
        </w:tc>
        <w:tc>
          <w:tcPr>
            <w:tcW w:w="4500" w:type="dxa"/>
            <w:tcMar>
              <w:left w:w="105" w:type="dxa"/>
              <w:right w:w="105" w:type="dxa"/>
            </w:tcMar>
          </w:tcPr>
          <w:p w14:paraId="352EB0BC" w14:textId="1551E4F6"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We have also seen an increase in the number of prevention cases we close with a successful outcome. In 23/24 we achieved 52.5% having a successful outcome (with the rest either homeless or lost contact). So far in 24/25 we are achieving 62.8%, an increase in positive cases, breaking down to 40 households sustained in current accommodation, and 63 households supported to move to alternative accommodation before becoming homeless. This is a considerable achievement in the current difficult housing market conditions. </w:t>
            </w:r>
          </w:p>
        </w:tc>
        <w:tc>
          <w:tcPr>
            <w:tcW w:w="802" w:type="dxa"/>
            <w:shd w:val="clear" w:color="auto" w:fill="92D050"/>
            <w:tcMar>
              <w:left w:w="105" w:type="dxa"/>
              <w:right w:w="105" w:type="dxa"/>
            </w:tcMar>
          </w:tcPr>
          <w:p w14:paraId="635A9443" w14:textId="0437B884" w:rsidR="7DE059BD" w:rsidRDefault="7DE059BD" w:rsidP="7DE059BD">
            <w:pPr>
              <w:rPr>
                <w:rFonts w:ascii="Aptos" w:eastAsia="Aptos" w:hAnsi="Aptos" w:cs="Aptos"/>
                <w:color w:val="000000" w:themeColor="text1"/>
                <w:sz w:val="22"/>
                <w:szCs w:val="22"/>
              </w:rPr>
            </w:pPr>
          </w:p>
        </w:tc>
      </w:tr>
      <w:tr w:rsidR="7DE059BD" w14:paraId="2408480E" w14:textId="77777777" w:rsidTr="7DE059BD">
        <w:trPr>
          <w:trHeight w:val="300"/>
        </w:trPr>
        <w:tc>
          <w:tcPr>
            <w:tcW w:w="1245" w:type="dxa"/>
            <w:vMerge w:val="restart"/>
            <w:tcMar>
              <w:left w:w="105" w:type="dxa"/>
              <w:right w:w="105" w:type="dxa"/>
            </w:tcMar>
          </w:tcPr>
          <w:p w14:paraId="63AE755E" w14:textId="4FD404D4" w:rsidR="06647AB7" w:rsidRDefault="06647AB7" w:rsidP="7DE059BD">
            <w:pPr>
              <w:spacing w:line="279" w:lineRule="auto"/>
              <w:rPr>
                <w:rFonts w:ascii="Aptos" w:eastAsia="Aptos" w:hAnsi="Aptos" w:cs="Aptos"/>
                <w:color w:val="000000" w:themeColor="text1"/>
                <w:sz w:val="22"/>
                <w:szCs w:val="22"/>
                <w:lang w:val="en-US"/>
              </w:rPr>
            </w:pPr>
            <w:r w:rsidRPr="7DE059BD">
              <w:rPr>
                <w:rFonts w:ascii="Aptos" w:eastAsia="Aptos" w:hAnsi="Aptos" w:cs="Aptos"/>
                <w:color w:val="000000" w:themeColor="text1"/>
                <w:sz w:val="22"/>
                <w:szCs w:val="22"/>
                <w:lang w:val="en-US"/>
              </w:rPr>
              <w:t xml:space="preserve">3.0 </w:t>
            </w:r>
            <w:r w:rsidR="7DE059BD" w:rsidRPr="7DE059BD">
              <w:rPr>
                <w:rFonts w:ascii="Aptos" w:eastAsia="Aptos" w:hAnsi="Aptos" w:cs="Aptos"/>
                <w:color w:val="000000" w:themeColor="text1"/>
                <w:sz w:val="22"/>
                <w:szCs w:val="22"/>
                <w:lang w:val="en-US"/>
              </w:rPr>
              <w:t>Expand TA stock to lower hotel use</w:t>
            </w:r>
          </w:p>
        </w:tc>
        <w:tc>
          <w:tcPr>
            <w:tcW w:w="1920" w:type="dxa"/>
            <w:tcMar>
              <w:left w:w="105" w:type="dxa"/>
              <w:right w:w="105" w:type="dxa"/>
            </w:tcMar>
          </w:tcPr>
          <w:p w14:paraId="65F9E31D" w14:textId="796D7A58" w:rsidR="06647AB7" w:rsidRDefault="06647AB7"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3.1 </w:t>
            </w:r>
            <w:r w:rsidR="7DE059BD" w:rsidRPr="7DE059BD">
              <w:rPr>
                <w:rFonts w:ascii="Aptos" w:eastAsia="Aptos" w:hAnsi="Aptos" w:cs="Aptos"/>
                <w:color w:val="000000" w:themeColor="text1"/>
                <w:sz w:val="22"/>
                <w:szCs w:val="22"/>
                <w:lang w:val="en-US"/>
              </w:rPr>
              <w:t>Develop and expand a private sector leasing (PSL) scheme</w:t>
            </w:r>
          </w:p>
        </w:tc>
        <w:tc>
          <w:tcPr>
            <w:tcW w:w="1380" w:type="dxa"/>
            <w:tcMar>
              <w:left w:w="105" w:type="dxa"/>
              <w:right w:w="105" w:type="dxa"/>
            </w:tcMar>
          </w:tcPr>
          <w:p w14:paraId="4643419F" w14:textId="7E22D5A7"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Delivering</w:t>
            </w:r>
          </w:p>
        </w:tc>
        <w:tc>
          <w:tcPr>
            <w:tcW w:w="4500" w:type="dxa"/>
            <w:tcMar>
              <w:left w:w="105" w:type="dxa"/>
              <w:right w:w="105" w:type="dxa"/>
            </w:tcMar>
          </w:tcPr>
          <w:p w14:paraId="651B088C" w14:textId="5C044C94"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We have successful established a PSL scheme targeting an initial 30 units to be used as TA, including three HMOs. We have now achieved this target, with ODS undertaking works in our HMO units ensuring all meet the same standards as the council owned stock, all units should be in use by April.</w:t>
            </w:r>
          </w:p>
        </w:tc>
        <w:tc>
          <w:tcPr>
            <w:tcW w:w="802" w:type="dxa"/>
            <w:shd w:val="clear" w:color="auto" w:fill="FFC000"/>
            <w:tcMar>
              <w:left w:w="105" w:type="dxa"/>
              <w:right w:w="105" w:type="dxa"/>
            </w:tcMar>
          </w:tcPr>
          <w:p w14:paraId="06F5239F" w14:textId="1A7AA581" w:rsidR="7DE059BD" w:rsidRDefault="7DE059BD" w:rsidP="7DE059BD">
            <w:pPr>
              <w:rPr>
                <w:rFonts w:ascii="Aptos" w:eastAsia="Aptos" w:hAnsi="Aptos" w:cs="Aptos"/>
                <w:color w:val="000000" w:themeColor="text1"/>
                <w:sz w:val="22"/>
                <w:szCs w:val="22"/>
              </w:rPr>
            </w:pPr>
          </w:p>
        </w:tc>
      </w:tr>
      <w:tr w:rsidR="7DE059BD" w14:paraId="2BC8E083" w14:textId="77777777" w:rsidTr="7DE059BD">
        <w:trPr>
          <w:trHeight w:val="300"/>
        </w:trPr>
        <w:tc>
          <w:tcPr>
            <w:tcW w:w="1245" w:type="dxa"/>
            <w:vMerge/>
            <w:vAlign w:val="center"/>
          </w:tcPr>
          <w:p w14:paraId="670C9AF7" w14:textId="77777777" w:rsidR="009F1833" w:rsidRDefault="009F1833"/>
        </w:tc>
        <w:tc>
          <w:tcPr>
            <w:tcW w:w="1920" w:type="dxa"/>
            <w:tcMar>
              <w:left w:w="105" w:type="dxa"/>
              <w:right w:w="105" w:type="dxa"/>
            </w:tcMar>
          </w:tcPr>
          <w:p w14:paraId="57673EDA" w14:textId="2FF39865" w:rsidR="726AEE43" w:rsidRDefault="726AEE43" w:rsidP="7DE059BD">
            <w:pPr>
              <w:spacing w:line="279" w:lineRule="auto"/>
              <w:rPr>
                <w:rFonts w:ascii="Aptos" w:eastAsia="Aptos" w:hAnsi="Aptos" w:cs="Aptos"/>
                <w:color w:val="000000" w:themeColor="text1"/>
                <w:sz w:val="22"/>
                <w:szCs w:val="22"/>
                <w:lang w:val="en-US"/>
              </w:rPr>
            </w:pPr>
            <w:r w:rsidRPr="7DE059BD">
              <w:rPr>
                <w:rFonts w:ascii="Aptos" w:eastAsia="Aptos" w:hAnsi="Aptos" w:cs="Aptos"/>
                <w:color w:val="000000" w:themeColor="text1"/>
                <w:sz w:val="22"/>
                <w:szCs w:val="22"/>
                <w:lang w:val="en-US"/>
              </w:rPr>
              <w:t xml:space="preserve">3.2 </w:t>
            </w:r>
            <w:r w:rsidR="7DE059BD" w:rsidRPr="7DE059BD">
              <w:rPr>
                <w:rFonts w:ascii="Aptos" w:eastAsia="Aptos" w:hAnsi="Aptos" w:cs="Aptos"/>
                <w:color w:val="000000" w:themeColor="text1"/>
                <w:sz w:val="22"/>
                <w:szCs w:val="22"/>
                <w:lang w:val="en-US"/>
              </w:rPr>
              <w:t>Use more Council stock for the purpose of TA, to prevent households having long stays in hotels.</w:t>
            </w:r>
          </w:p>
        </w:tc>
        <w:tc>
          <w:tcPr>
            <w:tcW w:w="1380" w:type="dxa"/>
            <w:tcMar>
              <w:left w:w="105" w:type="dxa"/>
              <w:right w:w="105" w:type="dxa"/>
            </w:tcMar>
          </w:tcPr>
          <w:p w14:paraId="1786428F" w14:textId="7E4EC844"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Delivering</w:t>
            </w:r>
          </w:p>
          <w:p w14:paraId="07EAB823" w14:textId="086218EE" w:rsidR="7DE059BD" w:rsidRDefault="7DE059BD" w:rsidP="7DE059BD">
            <w:pPr>
              <w:rPr>
                <w:rFonts w:ascii="Aptos" w:eastAsia="Aptos" w:hAnsi="Aptos" w:cs="Aptos"/>
                <w:color w:val="000000" w:themeColor="text1"/>
                <w:sz w:val="22"/>
                <w:szCs w:val="22"/>
              </w:rPr>
            </w:pPr>
          </w:p>
        </w:tc>
        <w:tc>
          <w:tcPr>
            <w:tcW w:w="4500" w:type="dxa"/>
            <w:tcMar>
              <w:left w:w="105" w:type="dxa"/>
              <w:right w:w="105" w:type="dxa"/>
            </w:tcMar>
          </w:tcPr>
          <w:p w14:paraId="3BC93FB8" w14:textId="47FFF12A"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We continue to gradually move more housing stock into TA use, whilst seeking to avoid a significant impact on overall supply, in particular to ensure families are not spending long periods in hotel rooms. </w:t>
            </w:r>
          </w:p>
        </w:tc>
        <w:tc>
          <w:tcPr>
            <w:tcW w:w="802" w:type="dxa"/>
            <w:shd w:val="clear" w:color="auto" w:fill="92D050"/>
            <w:tcMar>
              <w:left w:w="105" w:type="dxa"/>
              <w:right w:w="105" w:type="dxa"/>
            </w:tcMar>
          </w:tcPr>
          <w:p w14:paraId="5484A0F2" w14:textId="67812D2D" w:rsidR="7DE059BD" w:rsidRDefault="7DE059BD" w:rsidP="7DE059BD">
            <w:pPr>
              <w:rPr>
                <w:rFonts w:ascii="Aptos" w:eastAsia="Aptos" w:hAnsi="Aptos" w:cs="Aptos"/>
                <w:color w:val="000000" w:themeColor="text1"/>
                <w:sz w:val="22"/>
                <w:szCs w:val="22"/>
              </w:rPr>
            </w:pPr>
          </w:p>
        </w:tc>
      </w:tr>
      <w:tr w:rsidR="7DE059BD" w14:paraId="6D8C65C4" w14:textId="77777777" w:rsidTr="7DE059BD">
        <w:trPr>
          <w:trHeight w:val="300"/>
        </w:trPr>
        <w:tc>
          <w:tcPr>
            <w:tcW w:w="1245" w:type="dxa"/>
            <w:vMerge/>
            <w:vAlign w:val="center"/>
          </w:tcPr>
          <w:p w14:paraId="5A5F9180" w14:textId="77777777" w:rsidR="009F1833" w:rsidRDefault="009F1833"/>
        </w:tc>
        <w:tc>
          <w:tcPr>
            <w:tcW w:w="1920" w:type="dxa"/>
            <w:tcMar>
              <w:left w:w="105" w:type="dxa"/>
              <w:right w:w="105" w:type="dxa"/>
            </w:tcMar>
          </w:tcPr>
          <w:p w14:paraId="30482F99" w14:textId="38B4C3DA" w:rsidR="2A0F764F" w:rsidRDefault="2A0F764F" w:rsidP="7DE059BD">
            <w:pPr>
              <w:spacing w:line="279" w:lineRule="auto"/>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3.3 </w:t>
            </w:r>
            <w:r w:rsidR="7DE059BD" w:rsidRPr="7DE059BD">
              <w:rPr>
                <w:rFonts w:ascii="Aptos" w:eastAsia="Aptos" w:hAnsi="Aptos" w:cs="Aptos"/>
                <w:color w:val="000000" w:themeColor="text1"/>
                <w:sz w:val="22"/>
                <w:szCs w:val="22"/>
                <w:lang w:val="en-US"/>
              </w:rPr>
              <w:t xml:space="preserve">Launch a new Temporary Accommodation Procurement Framework, to drive up standards and drive down cost. </w:t>
            </w:r>
          </w:p>
        </w:tc>
        <w:tc>
          <w:tcPr>
            <w:tcW w:w="1380" w:type="dxa"/>
            <w:tcMar>
              <w:left w:w="105" w:type="dxa"/>
              <w:right w:w="105" w:type="dxa"/>
            </w:tcMar>
          </w:tcPr>
          <w:p w14:paraId="52AC1FDB" w14:textId="2A4BD626"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Delivering</w:t>
            </w:r>
          </w:p>
        </w:tc>
        <w:tc>
          <w:tcPr>
            <w:tcW w:w="4500" w:type="dxa"/>
            <w:tcMar>
              <w:left w:w="105" w:type="dxa"/>
              <w:right w:w="105" w:type="dxa"/>
            </w:tcMar>
          </w:tcPr>
          <w:p w14:paraId="5E5EE5C0" w14:textId="04252E57"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Cabinet approved the creation of the framework in May. Work is underway with providers joining the framework, and finalisation is imminent, ready for the first rooms to be purchased from the framework before April.</w:t>
            </w:r>
          </w:p>
        </w:tc>
        <w:tc>
          <w:tcPr>
            <w:tcW w:w="802" w:type="dxa"/>
            <w:shd w:val="clear" w:color="auto" w:fill="92D050"/>
            <w:tcMar>
              <w:left w:w="105" w:type="dxa"/>
              <w:right w:w="105" w:type="dxa"/>
            </w:tcMar>
          </w:tcPr>
          <w:p w14:paraId="4188454A" w14:textId="0FFFD4A2" w:rsidR="7DE059BD" w:rsidRDefault="7DE059BD" w:rsidP="7DE059BD">
            <w:pPr>
              <w:rPr>
                <w:rFonts w:ascii="Aptos" w:eastAsia="Aptos" w:hAnsi="Aptos" w:cs="Aptos"/>
                <w:color w:val="000000" w:themeColor="text1"/>
                <w:sz w:val="22"/>
                <w:szCs w:val="22"/>
              </w:rPr>
            </w:pPr>
          </w:p>
        </w:tc>
      </w:tr>
      <w:tr w:rsidR="7DE059BD" w14:paraId="575E4B22" w14:textId="77777777" w:rsidTr="7DE059BD">
        <w:trPr>
          <w:trHeight w:val="300"/>
        </w:trPr>
        <w:tc>
          <w:tcPr>
            <w:tcW w:w="1245" w:type="dxa"/>
            <w:vMerge/>
            <w:vAlign w:val="center"/>
          </w:tcPr>
          <w:p w14:paraId="065930F5" w14:textId="77777777" w:rsidR="009F1833" w:rsidRDefault="009F1833"/>
        </w:tc>
        <w:tc>
          <w:tcPr>
            <w:tcW w:w="1920" w:type="dxa"/>
            <w:tcMar>
              <w:left w:w="105" w:type="dxa"/>
              <w:right w:w="105" w:type="dxa"/>
            </w:tcMar>
          </w:tcPr>
          <w:p w14:paraId="6D86B941" w14:textId="3F9A22C0" w:rsidR="0BA02C3F" w:rsidRDefault="0BA02C3F"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3.4 </w:t>
            </w:r>
            <w:r w:rsidR="7DE059BD" w:rsidRPr="7DE059BD">
              <w:rPr>
                <w:rFonts w:ascii="Aptos" w:eastAsia="Aptos" w:hAnsi="Aptos" w:cs="Aptos"/>
                <w:color w:val="000000" w:themeColor="text1"/>
                <w:sz w:val="22"/>
                <w:szCs w:val="22"/>
                <w:lang w:val="en-US"/>
              </w:rPr>
              <w:t>Continue to develop and seek approval for other schemes to expand the Council’s TA stock</w:t>
            </w:r>
          </w:p>
        </w:tc>
        <w:tc>
          <w:tcPr>
            <w:tcW w:w="1380" w:type="dxa"/>
            <w:tcMar>
              <w:left w:w="105" w:type="dxa"/>
              <w:right w:w="105" w:type="dxa"/>
            </w:tcMar>
          </w:tcPr>
          <w:p w14:paraId="331E8B2C" w14:textId="4C6390CD"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Ongoing</w:t>
            </w:r>
          </w:p>
        </w:tc>
        <w:tc>
          <w:tcPr>
            <w:tcW w:w="4500" w:type="dxa"/>
            <w:tcMar>
              <w:left w:w="105" w:type="dxa"/>
              <w:right w:w="105" w:type="dxa"/>
            </w:tcMar>
          </w:tcPr>
          <w:p w14:paraId="67C127F0" w14:textId="4406B8E9"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Working with Housing Associations and the Council stock to repurpose stock for TA use ahead of redevelopment. Currently Richard Grey Court is being decanted by GreenSq and will be used for TA for a few years ahead of redevelopment. We are also consulting with tenants in Windale House and Northbrook House about redevelopment, with a recommendation to Cabinet on how to proceed in due course. If we proceed with </w:t>
            </w:r>
            <w:r w:rsidRPr="7DE059BD">
              <w:rPr>
                <w:rFonts w:ascii="Aptos" w:eastAsia="Aptos" w:hAnsi="Aptos" w:cs="Aptos"/>
                <w:color w:val="000000" w:themeColor="text1"/>
                <w:sz w:val="22"/>
                <w:szCs w:val="22"/>
                <w:lang w:val="en-US"/>
              </w:rPr>
              <w:lastRenderedPageBreak/>
              <w:t>the decant, we will use the blocks as TA between the decant and the demolition.</w:t>
            </w:r>
          </w:p>
        </w:tc>
        <w:tc>
          <w:tcPr>
            <w:tcW w:w="802" w:type="dxa"/>
            <w:shd w:val="clear" w:color="auto" w:fill="FFC000"/>
            <w:tcMar>
              <w:left w:w="105" w:type="dxa"/>
              <w:right w:w="105" w:type="dxa"/>
            </w:tcMar>
          </w:tcPr>
          <w:p w14:paraId="608F1C9F" w14:textId="743F4AFA" w:rsidR="7DE059BD" w:rsidRDefault="7DE059BD" w:rsidP="7DE059BD">
            <w:pPr>
              <w:rPr>
                <w:rFonts w:ascii="Aptos" w:eastAsia="Aptos" w:hAnsi="Aptos" w:cs="Aptos"/>
                <w:color w:val="000000" w:themeColor="text1"/>
                <w:sz w:val="22"/>
                <w:szCs w:val="22"/>
              </w:rPr>
            </w:pPr>
          </w:p>
        </w:tc>
      </w:tr>
      <w:tr w:rsidR="7DE059BD" w14:paraId="7798DB9A" w14:textId="77777777" w:rsidTr="7DE059BD">
        <w:trPr>
          <w:trHeight w:val="300"/>
        </w:trPr>
        <w:tc>
          <w:tcPr>
            <w:tcW w:w="1245" w:type="dxa"/>
            <w:vMerge w:val="restart"/>
            <w:tcMar>
              <w:left w:w="105" w:type="dxa"/>
              <w:right w:w="105" w:type="dxa"/>
            </w:tcMar>
          </w:tcPr>
          <w:p w14:paraId="01C0CD65" w14:textId="1FFD77FC" w:rsidR="59BDA11E" w:rsidRDefault="59BDA11E" w:rsidP="7DE059BD">
            <w:pPr>
              <w:spacing w:line="279" w:lineRule="auto"/>
              <w:rPr>
                <w:rFonts w:ascii="Aptos" w:eastAsia="Aptos" w:hAnsi="Aptos" w:cs="Aptos"/>
                <w:color w:val="000000" w:themeColor="text1"/>
                <w:sz w:val="22"/>
                <w:szCs w:val="22"/>
                <w:lang w:val="en-US"/>
              </w:rPr>
            </w:pPr>
            <w:r w:rsidRPr="7DE059BD">
              <w:rPr>
                <w:rFonts w:ascii="Aptos" w:eastAsia="Aptos" w:hAnsi="Aptos" w:cs="Aptos"/>
                <w:color w:val="000000" w:themeColor="text1"/>
                <w:sz w:val="22"/>
                <w:szCs w:val="22"/>
                <w:lang w:val="en-US"/>
              </w:rPr>
              <w:t xml:space="preserve">4 </w:t>
            </w:r>
            <w:r w:rsidR="7DE059BD" w:rsidRPr="7DE059BD">
              <w:rPr>
                <w:rFonts w:ascii="Aptos" w:eastAsia="Aptos" w:hAnsi="Aptos" w:cs="Aptos"/>
                <w:color w:val="000000" w:themeColor="text1"/>
                <w:sz w:val="22"/>
                <w:szCs w:val="22"/>
                <w:lang w:val="en-US"/>
              </w:rPr>
              <w:t>Increase the move on of homeless households out of TA</w:t>
            </w:r>
          </w:p>
        </w:tc>
        <w:tc>
          <w:tcPr>
            <w:tcW w:w="1920" w:type="dxa"/>
            <w:tcMar>
              <w:left w:w="105" w:type="dxa"/>
              <w:right w:w="105" w:type="dxa"/>
            </w:tcMar>
          </w:tcPr>
          <w:p w14:paraId="39071870" w14:textId="30BBA6D6" w:rsidR="73BDEABD" w:rsidRDefault="73BDEABD" w:rsidP="7DE059BD">
            <w:pPr>
              <w:rPr>
                <w:rFonts w:ascii="Aptos" w:eastAsia="Aptos" w:hAnsi="Aptos" w:cs="Aptos"/>
                <w:color w:val="000000" w:themeColor="text1"/>
                <w:sz w:val="22"/>
                <w:szCs w:val="22"/>
                <w:lang w:val="en-US"/>
              </w:rPr>
            </w:pPr>
            <w:r w:rsidRPr="7DE059BD">
              <w:rPr>
                <w:rFonts w:ascii="Aptos" w:eastAsia="Aptos" w:hAnsi="Aptos" w:cs="Aptos"/>
                <w:color w:val="000000" w:themeColor="text1"/>
                <w:sz w:val="22"/>
                <w:szCs w:val="22"/>
                <w:lang w:val="en-US"/>
              </w:rPr>
              <w:t xml:space="preserve">4.1 </w:t>
            </w:r>
            <w:r w:rsidR="7DE059BD" w:rsidRPr="7DE059BD">
              <w:rPr>
                <w:rFonts w:ascii="Aptos" w:eastAsia="Aptos" w:hAnsi="Aptos" w:cs="Aptos"/>
                <w:color w:val="000000" w:themeColor="text1"/>
                <w:sz w:val="22"/>
                <w:szCs w:val="22"/>
                <w:lang w:val="en-US"/>
              </w:rPr>
              <w:t>Maximize PRS move on</w:t>
            </w:r>
          </w:p>
        </w:tc>
        <w:tc>
          <w:tcPr>
            <w:tcW w:w="1380" w:type="dxa"/>
            <w:tcMar>
              <w:left w:w="105" w:type="dxa"/>
              <w:right w:w="105" w:type="dxa"/>
            </w:tcMar>
          </w:tcPr>
          <w:p w14:paraId="5D0322C4" w14:textId="2E0F6877"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Ongoing </w:t>
            </w:r>
          </w:p>
        </w:tc>
        <w:tc>
          <w:tcPr>
            <w:tcW w:w="4500" w:type="dxa"/>
            <w:tcMar>
              <w:left w:w="105" w:type="dxa"/>
              <w:right w:w="105" w:type="dxa"/>
            </w:tcMar>
          </w:tcPr>
          <w:p w14:paraId="49B1E8DF" w14:textId="0F0B11A3"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Service development and investment in our PRS Procurement Team continues to deliver in a very challenging market, with them securing 109 new lets to homeless households from April to December.</w:t>
            </w:r>
          </w:p>
        </w:tc>
        <w:tc>
          <w:tcPr>
            <w:tcW w:w="802" w:type="dxa"/>
            <w:shd w:val="clear" w:color="auto" w:fill="92D050"/>
            <w:tcMar>
              <w:left w:w="105" w:type="dxa"/>
              <w:right w:w="105" w:type="dxa"/>
            </w:tcMar>
          </w:tcPr>
          <w:p w14:paraId="3B059AB6" w14:textId="49D1BBFA" w:rsidR="7DE059BD" w:rsidRDefault="7DE059BD" w:rsidP="7DE059BD">
            <w:pPr>
              <w:rPr>
                <w:rFonts w:ascii="Aptos" w:eastAsia="Aptos" w:hAnsi="Aptos" w:cs="Aptos"/>
                <w:color w:val="000000" w:themeColor="text1"/>
                <w:sz w:val="22"/>
                <w:szCs w:val="22"/>
              </w:rPr>
            </w:pPr>
          </w:p>
        </w:tc>
      </w:tr>
      <w:tr w:rsidR="7DE059BD" w14:paraId="1471EF6A" w14:textId="77777777" w:rsidTr="7DE059BD">
        <w:trPr>
          <w:trHeight w:val="300"/>
        </w:trPr>
        <w:tc>
          <w:tcPr>
            <w:tcW w:w="1245" w:type="dxa"/>
            <w:vMerge/>
            <w:vAlign w:val="center"/>
          </w:tcPr>
          <w:p w14:paraId="5B59F514" w14:textId="77777777" w:rsidR="009F1833" w:rsidRDefault="009F1833"/>
        </w:tc>
        <w:tc>
          <w:tcPr>
            <w:tcW w:w="1920" w:type="dxa"/>
            <w:tcMar>
              <w:left w:w="105" w:type="dxa"/>
              <w:right w:w="105" w:type="dxa"/>
            </w:tcMar>
          </w:tcPr>
          <w:p w14:paraId="2E539D3C" w14:textId="3E3A1BFA" w:rsidR="3BEC85D6" w:rsidRDefault="3BEC85D6" w:rsidP="7DE059BD">
            <w:pPr>
              <w:rPr>
                <w:rFonts w:ascii="Aptos" w:eastAsia="Aptos" w:hAnsi="Aptos" w:cs="Aptos"/>
                <w:color w:val="000000" w:themeColor="text1"/>
                <w:sz w:val="22"/>
                <w:szCs w:val="22"/>
                <w:lang w:val="en-US"/>
              </w:rPr>
            </w:pPr>
            <w:r w:rsidRPr="7DE059BD">
              <w:rPr>
                <w:rFonts w:ascii="Aptos" w:eastAsia="Aptos" w:hAnsi="Aptos" w:cs="Aptos"/>
                <w:color w:val="000000" w:themeColor="text1"/>
                <w:sz w:val="22"/>
                <w:szCs w:val="22"/>
                <w:lang w:val="en-US"/>
              </w:rPr>
              <w:t xml:space="preserve">4.2 </w:t>
            </w:r>
            <w:r w:rsidR="7DE059BD" w:rsidRPr="7DE059BD">
              <w:rPr>
                <w:rFonts w:ascii="Aptos" w:eastAsia="Aptos" w:hAnsi="Aptos" w:cs="Aptos"/>
                <w:color w:val="000000" w:themeColor="text1"/>
                <w:sz w:val="22"/>
                <w:szCs w:val="22"/>
                <w:lang w:val="en-US"/>
              </w:rPr>
              <w:t>Maximize access to social housing</w:t>
            </w:r>
          </w:p>
        </w:tc>
        <w:tc>
          <w:tcPr>
            <w:tcW w:w="1380" w:type="dxa"/>
            <w:tcMar>
              <w:left w:w="105" w:type="dxa"/>
              <w:right w:w="105" w:type="dxa"/>
            </w:tcMar>
          </w:tcPr>
          <w:p w14:paraId="05CB2DC0" w14:textId="72C84400"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Ongoing</w:t>
            </w:r>
          </w:p>
        </w:tc>
        <w:tc>
          <w:tcPr>
            <w:tcW w:w="4500" w:type="dxa"/>
            <w:tcMar>
              <w:left w:w="105" w:type="dxa"/>
              <w:right w:w="105" w:type="dxa"/>
            </w:tcMar>
          </w:tcPr>
          <w:p w14:paraId="76A7BA95" w14:textId="6A5C9057" w:rsidR="7DE059BD" w:rsidRDefault="7DE059BD" w:rsidP="7DE059BD">
            <w:pPr>
              <w:rPr>
                <w:rFonts w:ascii="Aptos" w:eastAsia="Aptos" w:hAnsi="Aptos" w:cs="Aptos"/>
                <w:color w:val="000000" w:themeColor="text1"/>
                <w:sz w:val="22"/>
                <w:szCs w:val="22"/>
              </w:rPr>
            </w:pPr>
            <w:r w:rsidRPr="7DE059BD">
              <w:rPr>
                <w:rFonts w:ascii="Aptos" w:eastAsia="Aptos" w:hAnsi="Aptos" w:cs="Aptos"/>
                <w:color w:val="000000" w:themeColor="text1"/>
                <w:sz w:val="22"/>
                <w:szCs w:val="22"/>
                <w:lang w:val="en-US"/>
              </w:rPr>
              <w:t xml:space="preserve">In order to meet our statutory obligations, we target 40% of all lets to homeless households. Between April and December 35.56% of new lets went to homeless households in TA, up from 24.82% for the same period last year. We are currently not on target for 40%, so the team are focusing on this for Q4. </w:t>
            </w:r>
          </w:p>
        </w:tc>
        <w:tc>
          <w:tcPr>
            <w:tcW w:w="802" w:type="dxa"/>
            <w:shd w:val="clear" w:color="auto" w:fill="FFC000"/>
            <w:tcMar>
              <w:left w:w="105" w:type="dxa"/>
              <w:right w:w="105" w:type="dxa"/>
            </w:tcMar>
          </w:tcPr>
          <w:p w14:paraId="7CA0CF14" w14:textId="6371138D" w:rsidR="7DE059BD" w:rsidRDefault="7DE059BD" w:rsidP="7DE059BD">
            <w:pPr>
              <w:rPr>
                <w:rFonts w:ascii="Aptos" w:eastAsia="Aptos" w:hAnsi="Aptos" w:cs="Aptos"/>
                <w:color w:val="000000" w:themeColor="text1"/>
                <w:sz w:val="22"/>
                <w:szCs w:val="22"/>
              </w:rPr>
            </w:pPr>
          </w:p>
        </w:tc>
      </w:tr>
    </w:tbl>
    <w:p w14:paraId="7799ED43" w14:textId="67497635" w:rsidR="7DE059BD" w:rsidRDefault="7DE059BD" w:rsidP="7DE059BD"/>
    <w:sectPr w:rsidR="7DE059BD" w:rsidSect="002B6836">
      <w:footerReference w:type="even" r:id="rId11"/>
      <w:headerReference w:type="first" r:id="rId12"/>
      <w:pgSz w:w="11906" w:h="16838" w:code="9"/>
      <w:pgMar w:top="1440" w:right="1080" w:bottom="1440" w:left="1080"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50A6D9" w14:textId="77777777" w:rsidR="00154095" w:rsidRDefault="00154095" w:rsidP="004A6D2F">
      <w:r>
        <w:separator/>
      </w:r>
    </w:p>
  </w:endnote>
  <w:endnote w:type="continuationSeparator" w:id="0">
    <w:p w14:paraId="04781A8E" w14:textId="77777777" w:rsidR="00154095" w:rsidRDefault="00154095"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27BD6" w14:textId="77777777" w:rsidR="00154095" w:rsidRDefault="00154095" w:rsidP="004A6D2F">
      <w:r>
        <w:separator/>
      </w:r>
    </w:p>
  </w:footnote>
  <w:footnote w:type="continuationSeparator" w:id="0">
    <w:p w14:paraId="059AED46" w14:textId="77777777" w:rsidR="00154095" w:rsidRDefault="00154095"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2263A6A"/>
    <w:multiLevelType w:val="multilevel"/>
    <w:tmpl w:val="43D6D2FA"/>
    <w:numStyleLink w:val="StyleBulletedSymbolsymbolLeft063cmHanging063cm"/>
  </w:abstractNum>
  <w:abstractNum w:abstractNumId="18"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ABA5FD8"/>
    <w:multiLevelType w:val="multilevel"/>
    <w:tmpl w:val="43D6D2FA"/>
    <w:numStyleLink w:val="StyleBulletedSymbolsymbolLeft063cmHanging063cm"/>
  </w:abstractNum>
  <w:abstractNum w:abstractNumId="29"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2A22831"/>
    <w:multiLevelType w:val="multilevel"/>
    <w:tmpl w:val="43D6D2FA"/>
    <w:numStyleLink w:val="StyleBulletedSymbolsymbolLeft063cmHanging063cm"/>
  </w:abstractNum>
  <w:abstractNum w:abstractNumId="31"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98365C6"/>
    <w:multiLevelType w:val="multilevel"/>
    <w:tmpl w:val="E67CE66C"/>
    <w:numStyleLink w:val="StyleNumberedLeft0cmHanging075cm"/>
  </w:abstractNum>
  <w:num w:numId="1" w16cid:durableId="2036299310">
    <w:abstractNumId w:val="27"/>
  </w:num>
  <w:num w:numId="2" w16cid:durableId="643705505">
    <w:abstractNumId w:val="32"/>
  </w:num>
  <w:num w:numId="3" w16cid:durableId="1284848424">
    <w:abstractNumId w:val="24"/>
  </w:num>
  <w:num w:numId="4" w16cid:durableId="578908713">
    <w:abstractNumId w:val="18"/>
  </w:num>
  <w:num w:numId="5" w16cid:durableId="54470100">
    <w:abstractNumId w:val="29"/>
  </w:num>
  <w:num w:numId="6" w16cid:durableId="694158268">
    <w:abstractNumId w:val="34"/>
  </w:num>
  <w:num w:numId="7" w16cid:durableId="647516062">
    <w:abstractNumId w:val="23"/>
  </w:num>
  <w:num w:numId="8" w16cid:durableId="1160539719">
    <w:abstractNumId w:val="20"/>
  </w:num>
  <w:num w:numId="9" w16cid:durableId="1862670074">
    <w:abstractNumId w:val="13"/>
  </w:num>
  <w:num w:numId="10" w16cid:durableId="948585193">
    <w:abstractNumId w:val="15"/>
  </w:num>
  <w:num w:numId="11" w16cid:durableId="718482766">
    <w:abstractNumId w:val="26"/>
  </w:num>
  <w:num w:numId="12" w16cid:durableId="164051272">
    <w:abstractNumId w:val="25"/>
  </w:num>
  <w:num w:numId="13" w16cid:durableId="1450854030">
    <w:abstractNumId w:val="10"/>
  </w:num>
  <w:num w:numId="14" w16cid:durableId="373359476">
    <w:abstractNumId w:val="35"/>
  </w:num>
  <w:num w:numId="15" w16cid:durableId="1009412161">
    <w:abstractNumId w:val="16"/>
  </w:num>
  <w:num w:numId="16" w16cid:durableId="2041280933">
    <w:abstractNumId w:val="11"/>
  </w:num>
  <w:num w:numId="17" w16cid:durableId="471220593">
    <w:abstractNumId w:val="28"/>
  </w:num>
  <w:num w:numId="18" w16cid:durableId="1031035851">
    <w:abstractNumId w:val="12"/>
  </w:num>
  <w:num w:numId="19" w16cid:durableId="1402945545">
    <w:abstractNumId w:val="30"/>
  </w:num>
  <w:num w:numId="20" w16cid:durableId="1667248783">
    <w:abstractNumId w:val="17"/>
  </w:num>
  <w:num w:numId="21" w16cid:durableId="1353453069">
    <w:abstractNumId w:val="21"/>
  </w:num>
  <w:num w:numId="22" w16cid:durableId="592667723">
    <w:abstractNumId w:val="14"/>
  </w:num>
  <w:num w:numId="23" w16cid:durableId="37707020">
    <w:abstractNumId w:val="31"/>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3"/>
  </w:num>
  <w:num w:numId="35" w16cid:durableId="1152941978">
    <w:abstractNumId w:val="19"/>
  </w:num>
  <w:num w:numId="36" w16cid:durableId="2006741231">
    <w:abstractNumId w:val="2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25250"/>
    <w:rsid w:val="000314D7"/>
    <w:rsid w:val="00034054"/>
    <w:rsid w:val="00045F8B"/>
    <w:rsid w:val="00046D2B"/>
    <w:rsid w:val="00056263"/>
    <w:rsid w:val="00064D8A"/>
    <w:rsid w:val="00064F82"/>
    <w:rsid w:val="00066510"/>
    <w:rsid w:val="00077523"/>
    <w:rsid w:val="000B1DFC"/>
    <w:rsid w:val="000C089F"/>
    <w:rsid w:val="000C3928"/>
    <w:rsid w:val="000C5E8E"/>
    <w:rsid w:val="000F4751"/>
    <w:rsid w:val="0010524C"/>
    <w:rsid w:val="00111FB1"/>
    <w:rsid w:val="00113418"/>
    <w:rsid w:val="001356F1"/>
    <w:rsid w:val="00136994"/>
    <w:rsid w:val="0014128E"/>
    <w:rsid w:val="00151888"/>
    <w:rsid w:val="00154095"/>
    <w:rsid w:val="00170A2D"/>
    <w:rsid w:val="001808BC"/>
    <w:rsid w:val="00182B81"/>
    <w:rsid w:val="0018619D"/>
    <w:rsid w:val="001A011E"/>
    <w:rsid w:val="001A066A"/>
    <w:rsid w:val="001A13E6"/>
    <w:rsid w:val="001A5731"/>
    <w:rsid w:val="001B42C3"/>
    <w:rsid w:val="001C5D5E"/>
    <w:rsid w:val="001D678D"/>
    <w:rsid w:val="001E03F8"/>
    <w:rsid w:val="001E1678"/>
    <w:rsid w:val="001E3376"/>
    <w:rsid w:val="002069B3"/>
    <w:rsid w:val="002312EA"/>
    <w:rsid w:val="002329CF"/>
    <w:rsid w:val="00232F5B"/>
    <w:rsid w:val="00247C29"/>
    <w:rsid w:val="00260467"/>
    <w:rsid w:val="00263EA3"/>
    <w:rsid w:val="00284F85"/>
    <w:rsid w:val="002870C3"/>
    <w:rsid w:val="00290915"/>
    <w:rsid w:val="002A22E2"/>
    <w:rsid w:val="002B6836"/>
    <w:rsid w:val="002C64F7"/>
    <w:rsid w:val="002F41F2"/>
    <w:rsid w:val="00301BF3"/>
    <w:rsid w:val="0030208D"/>
    <w:rsid w:val="00320F1D"/>
    <w:rsid w:val="00323418"/>
    <w:rsid w:val="003357BF"/>
    <w:rsid w:val="00364FAD"/>
    <w:rsid w:val="0036738F"/>
    <w:rsid w:val="0036759C"/>
    <w:rsid w:val="00367AE5"/>
    <w:rsid w:val="00367D71"/>
    <w:rsid w:val="0038150A"/>
    <w:rsid w:val="003B6E75"/>
    <w:rsid w:val="003B7DA1"/>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548E0"/>
    <w:rsid w:val="00462AB5"/>
    <w:rsid w:val="00462D22"/>
    <w:rsid w:val="00465EAF"/>
    <w:rsid w:val="004738C5"/>
    <w:rsid w:val="0047737B"/>
    <w:rsid w:val="00491046"/>
    <w:rsid w:val="00496078"/>
    <w:rsid w:val="004A2AC7"/>
    <w:rsid w:val="004A6D2F"/>
    <w:rsid w:val="004B11AE"/>
    <w:rsid w:val="004C2887"/>
    <w:rsid w:val="004D2626"/>
    <w:rsid w:val="004D6E26"/>
    <w:rsid w:val="004D77D3"/>
    <w:rsid w:val="004E2959"/>
    <w:rsid w:val="004F20EF"/>
    <w:rsid w:val="0050321C"/>
    <w:rsid w:val="00507ECC"/>
    <w:rsid w:val="0054712D"/>
    <w:rsid w:val="00547EF6"/>
    <w:rsid w:val="005570B5"/>
    <w:rsid w:val="00567E18"/>
    <w:rsid w:val="00575F5F"/>
    <w:rsid w:val="00581805"/>
    <w:rsid w:val="00585F76"/>
    <w:rsid w:val="005A34E4"/>
    <w:rsid w:val="005A6610"/>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50811"/>
    <w:rsid w:val="00655339"/>
    <w:rsid w:val="00661D3E"/>
    <w:rsid w:val="00692627"/>
    <w:rsid w:val="006969E7"/>
    <w:rsid w:val="006A3643"/>
    <w:rsid w:val="006B10C2"/>
    <w:rsid w:val="006C2A29"/>
    <w:rsid w:val="006C64CF"/>
    <w:rsid w:val="006D17B1"/>
    <w:rsid w:val="006D4752"/>
    <w:rsid w:val="006D708A"/>
    <w:rsid w:val="006E14C1"/>
    <w:rsid w:val="006F0292"/>
    <w:rsid w:val="006F27FA"/>
    <w:rsid w:val="006F416B"/>
    <w:rsid w:val="006F519B"/>
    <w:rsid w:val="00713675"/>
    <w:rsid w:val="00715823"/>
    <w:rsid w:val="0072449C"/>
    <w:rsid w:val="007253EF"/>
    <w:rsid w:val="00737B93"/>
    <w:rsid w:val="00745BF0"/>
    <w:rsid w:val="00751EA3"/>
    <w:rsid w:val="007615FE"/>
    <w:rsid w:val="0076655C"/>
    <w:rsid w:val="007742DC"/>
    <w:rsid w:val="00791437"/>
    <w:rsid w:val="007B0C2C"/>
    <w:rsid w:val="007B278E"/>
    <w:rsid w:val="007B5CA2"/>
    <w:rsid w:val="007C5C23"/>
    <w:rsid w:val="007E2A26"/>
    <w:rsid w:val="007F2348"/>
    <w:rsid w:val="007F4757"/>
    <w:rsid w:val="00803F07"/>
    <w:rsid w:val="0080749A"/>
    <w:rsid w:val="00821FB8"/>
    <w:rsid w:val="00822ACD"/>
    <w:rsid w:val="00855C66"/>
    <w:rsid w:val="00871EE4"/>
    <w:rsid w:val="008954DF"/>
    <w:rsid w:val="008B293F"/>
    <w:rsid w:val="008B7371"/>
    <w:rsid w:val="008D3DDB"/>
    <w:rsid w:val="008F3B04"/>
    <w:rsid w:val="008F573F"/>
    <w:rsid w:val="009034EC"/>
    <w:rsid w:val="0093067A"/>
    <w:rsid w:val="00941C60"/>
    <w:rsid w:val="00941FD1"/>
    <w:rsid w:val="00950824"/>
    <w:rsid w:val="00966D42"/>
    <w:rsid w:val="00971689"/>
    <w:rsid w:val="0097170F"/>
    <w:rsid w:val="00973E90"/>
    <w:rsid w:val="00975B07"/>
    <w:rsid w:val="00980B4A"/>
    <w:rsid w:val="009B3E8A"/>
    <w:rsid w:val="009E30E2"/>
    <w:rsid w:val="009E3D0A"/>
    <w:rsid w:val="009E51FC"/>
    <w:rsid w:val="009F1833"/>
    <w:rsid w:val="009F1D28"/>
    <w:rsid w:val="009F7618"/>
    <w:rsid w:val="00A04D23"/>
    <w:rsid w:val="00A06766"/>
    <w:rsid w:val="00A13765"/>
    <w:rsid w:val="00A21B12"/>
    <w:rsid w:val="00A23F80"/>
    <w:rsid w:val="00A46E98"/>
    <w:rsid w:val="00A6352B"/>
    <w:rsid w:val="00A701B5"/>
    <w:rsid w:val="00A714BB"/>
    <w:rsid w:val="00A77147"/>
    <w:rsid w:val="00A92D8F"/>
    <w:rsid w:val="00AB2988"/>
    <w:rsid w:val="00AB7999"/>
    <w:rsid w:val="00AD3292"/>
    <w:rsid w:val="00AE1684"/>
    <w:rsid w:val="00AE7AF0"/>
    <w:rsid w:val="00B500CA"/>
    <w:rsid w:val="00B86314"/>
    <w:rsid w:val="00BA1C2E"/>
    <w:rsid w:val="00BC200B"/>
    <w:rsid w:val="00BC4756"/>
    <w:rsid w:val="00BC69A4"/>
    <w:rsid w:val="00BD6181"/>
    <w:rsid w:val="00BE0680"/>
    <w:rsid w:val="00BE305F"/>
    <w:rsid w:val="00BE7BA3"/>
    <w:rsid w:val="00BF5682"/>
    <w:rsid w:val="00BF7B09"/>
    <w:rsid w:val="00C05260"/>
    <w:rsid w:val="00C076B9"/>
    <w:rsid w:val="00C20A95"/>
    <w:rsid w:val="00C2692F"/>
    <w:rsid w:val="00C3207C"/>
    <w:rsid w:val="00C400E1"/>
    <w:rsid w:val="00C41187"/>
    <w:rsid w:val="00C63C31"/>
    <w:rsid w:val="00C757A0"/>
    <w:rsid w:val="00C760DE"/>
    <w:rsid w:val="00C82630"/>
    <w:rsid w:val="00C85B4E"/>
    <w:rsid w:val="00C907F7"/>
    <w:rsid w:val="00CA2103"/>
    <w:rsid w:val="00CB21E8"/>
    <w:rsid w:val="00CB6B99"/>
    <w:rsid w:val="00CE4C87"/>
    <w:rsid w:val="00CE544A"/>
    <w:rsid w:val="00D11E1C"/>
    <w:rsid w:val="00D160B0"/>
    <w:rsid w:val="00D17F94"/>
    <w:rsid w:val="00D223FC"/>
    <w:rsid w:val="00D26D1E"/>
    <w:rsid w:val="00D474CF"/>
    <w:rsid w:val="00D5547E"/>
    <w:rsid w:val="00D860E2"/>
    <w:rsid w:val="00D869A1"/>
    <w:rsid w:val="00DA413F"/>
    <w:rsid w:val="00DA4584"/>
    <w:rsid w:val="00DA614B"/>
    <w:rsid w:val="00DB54C3"/>
    <w:rsid w:val="00DB7AD7"/>
    <w:rsid w:val="00DC3060"/>
    <w:rsid w:val="00DE0FB2"/>
    <w:rsid w:val="00DF093E"/>
    <w:rsid w:val="00E01F42"/>
    <w:rsid w:val="00E206D6"/>
    <w:rsid w:val="00E3366E"/>
    <w:rsid w:val="00E52086"/>
    <w:rsid w:val="00E543A6"/>
    <w:rsid w:val="00E60479"/>
    <w:rsid w:val="00E61D73"/>
    <w:rsid w:val="00E73684"/>
    <w:rsid w:val="00E818D6"/>
    <w:rsid w:val="00E87F7A"/>
    <w:rsid w:val="00E94B3E"/>
    <w:rsid w:val="00E96BD7"/>
    <w:rsid w:val="00EA0DB1"/>
    <w:rsid w:val="00EA0EE9"/>
    <w:rsid w:val="00ED52CA"/>
    <w:rsid w:val="00ED5860"/>
    <w:rsid w:val="00EE35C9"/>
    <w:rsid w:val="00F05ECA"/>
    <w:rsid w:val="00F26E21"/>
    <w:rsid w:val="00F3566E"/>
    <w:rsid w:val="00F375FB"/>
    <w:rsid w:val="00F41AC1"/>
    <w:rsid w:val="00F4367A"/>
    <w:rsid w:val="00F445B1"/>
    <w:rsid w:val="00F45CD4"/>
    <w:rsid w:val="00F66DCA"/>
    <w:rsid w:val="00F74F53"/>
    <w:rsid w:val="00F7606D"/>
    <w:rsid w:val="00F81670"/>
    <w:rsid w:val="00F82024"/>
    <w:rsid w:val="00F865A3"/>
    <w:rsid w:val="00F95BC9"/>
    <w:rsid w:val="00FA624C"/>
    <w:rsid w:val="00FB3B71"/>
    <w:rsid w:val="00FD0FAC"/>
    <w:rsid w:val="00FD1DFA"/>
    <w:rsid w:val="00FD4966"/>
    <w:rsid w:val="00FE57DC"/>
    <w:rsid w:val="00FF095A"/>
    <w:rsid w:val="01C00227"/>
    <w:rsid w:val="027BCD5A"/>
    <w:rsid w:val="0311B211"/>
    <w:rsid w:val="0331C096"/>
    <w:rsid w:val="0363EF0F"/>
    <w:rsid w:val="05B94C3D"/>
    <w:rsid w:val="05FFCC5E"/>
    <w:rsid w:val="06647AB7"/>
    <w:rsid w:val="072F01BD"/>
    <w:rsid w:val="07752D2D"/>
    <w:rsid w:val="07D434D5"/>
    <w:rsid w:val="0AEAD29A"/>
    <w:rsid w:val="0B166896"/>
    <w:rsid w:val="0B1F3A58"/>
    <w:rsid w:val="0B89A7FD"/>
    <w:rsid w:val="0B9FB13A"/>
    <w:rsid w:val="0BA02C3F"/>
    <w:rsid w:val="0BA4F596"/>
    <w:rsid w:val="0E137018"/>
    <w:rsid w:val="0ECD8498"/>
    <w:rsid w:val="0FB9297F"/>
    <w:rsid w:val="11DE2519"/>
    <w:rsid w:val="134DEDB1"/>
    <w:rsid w:val="13D67BC2"/>
    <w:rsid w:val="150E6135"/>
    <w:rsid w:val="15C7A288"/>
    <w:rsid w:val="16A8FA2E"/>
    <w:rsid w:val="16C788FA"/>
    <w:rsid w:val="17564E5F"/>
    <w:rsid w:val="187CEEE6"/>
    <w:rsid w:val="18B12936"/>
    <w:rsid w:val="18D68CA2"/>
    <w:rsid w:val="1982FE34"/>
    <w:rsid w:val="1BC0B843"/>
    <w:rsid w:val="1BDE6ACD"/>
    <w:rsid w:val="1C62DB68"/>
    <w:rsid w:val="1E18B39D"/>
    <w:rsid w:val="1E2AA5CE"/>
    <w:rsid w:val="1F2DBC8D"/>
    <w:rsid w:val="1F6D3B3D"/>
    <w:rsid w:val="200EE6D1"/>
    <w:rsid w:val="217E1055"/>
    <w:rsid w:val="220C1408"/>
    <w:rsid w:val="22F0553C"/>
    <w:rsid w:val="238A6E87"/>
    <w:rsid w:val="24AA93AA"/>
    <w:rsid w:val="251517DD"/>
    <w:rsid w:val="25C8DF4C"/>
    <w:rsid w:val="27395084"/>
    <w:rsid w:val="278ACBEA"/>
    <w:rsid w:val="282C914F"/>
    <w:rsid w:val="2875A525"/>
    <w:rsid w:val="29894939"/>
    <w:rsid w:val="2A0F764F"/>
    <w:rsid w:val="2A9C8CDD"/>
    <w:rsid w:val="2C25BAC9"/>
    <w:rsid w:val="2DC2B855"/>
    <w:rsid w:val="2DFE1685"/>
    <w:rsid w:val="3323D874"/>
    <w:rsid w:val="33C8C2FF"/>
    <w:rsid w:val="34C5ADE6"/>
    <w:rsid w:val="34CB7535"/>
    <w:rsid w:val="34ECE2A5"/>
    <w:rsid w:val="35E21068"/>
    <w:rsid w:val="35E68B5F"/>
    <w:rsid w:val="35F46AA2"/>
    <w:rsid w:val="3742E73C"/>
    <w:rsid w:val="37EA71FD"/>
    <w:rsid w:val="38C4BD77"/>
    <w:rsid w:val="3952196C"/>
    <w:rsid w:val="399D4AC0"/>
    <w:rsid w:val="3A028991"/>
    <w:rsid w:val="3A1580BC"/>
    <w:rsid w:val="3A2CF1E3"/>
    <w:rsid w:val="3BB43EC8"/>
    <w:rsid w:val="3BEC85D6"/>
    <w:rsid w:val="3C9559B9"/>
    <w:rsid w:val="3D0051FA"/>
    <w:rsid w:val="3D75EE1D"/>
    <w:rsid w:val="3DE65739"/>
    <w:rsid w:val="3F6049EA"/>
    <w:rsid w:val="4165F553"/>
    <w:rsid w:val="431C3BF6"/>
    <w:rsid w:val="43F42839"/>
    <w:rsid w:val="44EA3035"/>
    <w:rsid w:val="46F943B6"/>
    <w:rsid w:val="47265693"/>
    <w:rsid w:val="47D86170"/>
    <w:rsid w:val="480D5985"/>
    <w:rsid w:val="48132C6C"/>
    <w:rsid w:val="4B60B74B"/>
    <w:rsid w:val="4DC9FD09"/>
    <w:rsid w:val="4DF06A9C"/>
    <w:rsid w:val="51049B70"/>
    <w:rsid w:val="511B3F3B"/>
    <w:rsid w:val="52141FE7"/>
    <w:rsid w:val="530E7F80"/>
    <w:rsid w:val="53124442"/>
    <w:rsid w:val="53E57CD2"/>
    <w:rsid w:val="54BD7E5A"/>
    <w:rsid w:val="562DCFA1"/>
    <w:rsid w:val="56853F4A"/>
    <w:rsid w:val="5691318C"/>
    <w:rsid w:val="571C62E4"/>
    <w:rsid w:val="58C16BAB"/>
    <w:rsid w:val="5993303B"/>
    <w:rsid w:val="59BDA11E"/>
    <w:rsid w:val="5B57E167"/>
    <w:rsid w:val="5C2301F2"/>
    <w:rsid w:val="5C2E811E"/>
    <w:rsid w:val="5CD2A867"/>
    <w:rsid w:val="5D0EC0A9"/>
    <w:rsid w:val="5D6EE46E"/>
    <w:rsid w:val="5DE62121"/>
    <w:rsid w:val="60B35EF8"/>
    <w:rsid w:val="613D2893"/>
    <w:rsid w:val="6213969E"/>
    <w:rsid w:val="62A8C910"/>
    <w:rsid w:val="62B73EE3"/>
    <w:rsid w:val="636BDC7A"/>
    <w:rsid w:val="64EB8DCB"/>
    <w:rsid w:val="674B58A3"/>
    <w:rsid w:val="68F38FEE"/>
    <w:rsid w:val="6BFBC2A1"/>
    <w:rsid w:val="6ECA3545"/>
    <w:rsid w:val="6F56115B"/>
    <w:rsid w:val="6F8B72C3"/>
    <w:rsid w:val="70F8304B"/>
    <w:rsid w:val="7232C5CE"/>
    <w:rsid w:val="726AEE43"/>
    <w:rsid w:val="7276546A"/>
    <w:rsid w:val="73BDEABD"/>
    <w:rsid w:val="75E01BB2"/>
    <w:rsid w:val="76D8CABF"/>
    <w:rsid w:val="7BB41E96"/>
    <w:rsid w:val="7DE059BD"/>
    <w:rsid w:val="7E9823A6"/>
    <w:rsid w:val="7F0C0AF1"/>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470084659A8C14A869EF91DDC71B369" ma:contentTypeVersion="4" ma:contentTypeDescription="Create a new document." ma:contentTypeScope="" ma:versionID="1bef9870b4cf41f2705c813fc741edcd">
  <xsd:schema xmlns:xsd="http://www.w3.org/2001/XMLSchema" xmlns:xs="http://www.w3.org/2001/XMLSchema" xmlns:p="http://schemas.microsoft.com/office/2006/metadata/properties" xmlns:ns2="ac7a786f-a2c7-4d9b-96a8-3d484e57d929" targetNamespace="http://schemas.microsoft.com/office/2006/metadata/properties" ma:root="true" ma:fieldsID="79fddb1682badac180f0e3c21b57d876" ns2:_="">
    <xsd:import namespace="ac7a786f-a2c7-4d9b-96a8-3d484e57d92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a786f-a2c7-4d9b-96a8-3d484e57d9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customXml/itemProps2.xml><?xml version="1.0" encoding="utf-8"?>
<ds:datastoreItem xmlns:ds="http://schemas.openxmlformats.org/officeDocument/2006/customXml" ds:itemID="{050405AF-D84A-4F04-BF3E-250BAA20EF8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CAB3A03-4A4E-47ED-89A1-4FA3C2B6C8F1}">
  <ds:schemaRefs>
    <ds:schemaRef ds:uri="http://schemas.microsoft.com/sharepoint/v3/contenttype/forms"/>
  </ds:schemaRefs>
</ds:datastoreItem>
</file>

<file path=customXml/itemProps4.xml><?xml version="1.0" encoding="utf-8"?>
<ds:datastoreItem xmlns:ds="http://schemas.openxmlformats.org/officeDocument/2006/customXml" ds:itemID="{ED91259E-0B4D-4C39-A3CD-420F49837D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a786f-a2c7-4d9b-96a8-3d484e57d9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1301</Words>
  <Characters>6956</Characters>
  <Application>Microsoft Office Word</Application>
  <DocSecurity>0</DocSecurity>
  <Lines>57</Lines>
  <Paragraphs>16</Paragraphs>
  <ScaleCrop>false</ScaleCrop>
  <Company>Oxford City Council</Company>
  <LinksUpToDate>false</LinksUpToDate>
  <CharactersWithSpaces>8241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MALTON Jonathan</cp:lastModifiedBy>
  <cp:revision>9</cp:revision>
  <cp:lastPrinted>2015-07-03T13:50:00Z</cp:lastPrinted>
  <dcterms:created xsi:type="dcterms:W3CDTF">2024-12-10T08:38:00Z</dcterms:created>
  <dcterms:modified xsi:type="dcterms:W3CDTF">2025-02-25T16:58:00Z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0x010100A470084659A8C14A869EF91DDC71B369</vt:lpwstr>
  </property>
</Properties>
</file>